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242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технического исправления в Трудовой кодекс штата San-Andreas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В Трудовом кодексе штата San-Andreas глава, регулирующая трудовой договор, обозначена как «Глава III», тогда как глава, регулирующая основные права и обязанности сторон трудовых отношений, уже имеет номер III. В результате в Кодексе две главы III, а главы IV, V и VI следуют за ними со сдвигом. Законопроект присваивает главе о трудовом договоре номер IV и последовательно перенумеровывает главы о рабочем времени, оплате труда и дисциплине труда в V, VI и VII. Ссылок на номера этих глав в иных актах законодательства штата не имеется, поэтому изменения носят исключительно редакционный характер и содержание норм не затрагивают.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SECTION. 2. ВНЕСЕНИЕ ПРАВКИ В Трудовой кодекс штата San-Andreas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Глава III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. Трудовой договор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Глава IV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. Трудовой договор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Глава IV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. Общие положения рабочего времени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Глава V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. Общие положения рабочего времени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Глава V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. Оплата труда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Глава VI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. Оплата труда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>Глава VI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. Дисциплина труда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>Глава VII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>. Дисциплина труда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