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ПОЯСНИТЕЛЬНАЯ ЗАПИСКА</w:t>
      </w:r>
    </w:p>
    <w:p>
      <w:r>
        <w:t>к</w:t>
      </w:r>
    </w:p>
    <w:p>
      <w:r>
        <w:t xml:space="preserve"> </w:t>
      </w:r>
    </w:p>
    <w:p>
      <w:r>
        <w:t>п</w:t>
      </w:r>
    </w:p>
    <w:p>
      <w:r>
        <w:t>р</w:t>
      </w:r>
    </w:p>
    <w:p>
      <w:r>
        <w:t>о</w:t>
      </w:r>
    </w:p>
    <w:p>
      <w:r>
        <w:t>е</w:t>
      </w:r>
    </w:p>
    <w:p>
      <w:r>
        <w:t>к</w:t>
      </w:r>
    </w:p>
    <w:p>
      <w:r>
        <w:t>т</w:t>
      </w:r>
    </w:p>
    <w:p>
      <w:r>
        <w:t>у</w:t>
      </w:r>
    </w:p>
    <w:p>
      <w:r>
        <w:t xml:space="preserve"> </w:t>
      </w:r>
    </w:p>
    <w:p>
      <w:r>
        <w:t>и</w:t>
      </w:r>
    </w:p>
    <w:p>
      <w:r>
        <w:t>з</w:t>
      </w:r>
    </w:p>
    <w:p>
      <w:r>
        <w:t>м</w:t>
      </w:r>
    </w:p>
    <w:p>
      <w:r>
        <w:t>е</w:t>
      </w:r>
    </w:p>
    <w:p>
      <w:r>
        <w:t>н</w:t>
      </w:r>
    </w:p>
    <w:p>
      <w:r>
        <w:t>е</w:t>
      </w:r>
    </w:p>
    <w:p>
      <w:r>
        <w:t>н</w:t>
      </w:r>
    </w:p>
    <w:p>
      <w:r>
        <w:t>и</w:t>
      </w:r>
    </w:p>
    <w:p>
      <w:r>
        <w:t>й</w:t>
      </w:r>
    </w:p>
    <w:p>
      <w:r>
        <w:t xml:space="preserve"> </w:t>
      </w:r>
    </w:p>
    <w:p>
      <w:r>
        <w:t>в</w:t>
      </w:r>
    </w:p>
    <w:p>
      <w:r>
        <w:t>о</w:t>
      </w:r>
    </w:p>
    <w:p>
      <w:r>
        <w:t xml:space="preserve"> </w:t>
      </w:r>
    </w:p>
    <w:p>
      <w:r>
        <w:t>в</w:t>
      </w:r>
    </w:p>
    <w:p>
      <w:r>
        <w:t>н</w:t>
      </w:r>
    </w:p>
    <w:p>
      <w:r>
        <w:t>у</w:t>
      </w:r>
    </w:p>
    <w:p>
      <w:r>
        <w:t>т</w:t>
      </w:r>
    </w:p>
    <w:p>
      <w:r>
        <w:t>р</w:t>
      </w:r>
    </w:p>
    <w:p>
      <w:r>
        <w:t>е</w:t>
      </w:r>
    </w:p>
    <w:p>
      <w:r>
        <w:t>н</w:t>
      </w:r>
    </w:p>
    <w:p>
      <w:r>
        <w:t>н</w:t>
      </w:r>
    </w:p>
    <w:p>
      <w:r>
        <w:t>и</w:t>
      </w:r>
    </w:p>
    <w:p>
      <w:r>
        <w:t>й</w:t>
      </w:r>
    </w:p>
    <w:p>
      <w:r>
        <w:t xml:space="preserve"> </w:t>
      </w:r>
    </w:p>
    <w:p>
      <w:r>
        <w:t>У</w:t>
      </w:r>
    </w:p>
    <w:p>
      <w:r>
        <w:t>с</w:t>
      </w:r>
    </w:p>
    <w:p>
      <w:r>
        <w:t>т</w:t>
      </w:r>
    </w:p>
    <w:p>
      <w:r>
        <w:t>а</w:t>
      </w:r>
    </w:p>
    <w:p>
      <w:r>
        <w:t>в</w:t>
      </w:r>
    </w:p>
    <w:p>
      <w:r>
        <w:t xml:space="preserve"> </w:t>
      </w:r>
    </w:p>
    <w:p>
      <w:r>
        <w:t>S</w:t>
      </w:r>
    </w:p>
    <w:p>
      <w:r>
        <w:t>a</w:t>
      </w:r>
    </w:p>
    <w:p>
      <w:r>
        <w:t>n</w:t>
      </w:r>
    </w:p>
    <w:p>
      <w:r>
        <w:t>-</w:t>
      </w:r>
    </w:p>
    <w:p>
      <w:r>
        <w:t>A</w:t>
      </w:r>
    </w:p>
    <w:p>
      <w:r>
        <w:t>n</w:t>
      </w:r>
    </w:p>
    <w:p>
      <w:r>
        <w:t>d</w:t>
      </w:r>
    </w:p>
    <w:p>
      <w:r>
        <w:t>r</w:t>
      </w:r>
    </w:p>
    <w:p>
      <w:r>
        <w:t>e</w:t>
      </w:r>
    </w:p>
    <w:p>
      <w:r>
        <w:t>a</w:t>
      </w:r>
    </w:p>
    <w:p>
      <w:r>
        <w:t>s</w:t>
      </w:r>
    </w:p>
    <w:p>
      <w:r>
        <w:t xml:space="preserve"> </w:t>
      </w:r>
    </w:p>
    <w:p>
      <w:r>
        <w:t>N</w:t>
      </w:r>
    </w:p>
    <w:p>
      <w:r>
        <w:t>a</w:t>
      </w:r>
    </w:p>
    <w:p>
      <w:r>
        <w:t>t</w:t>
      </w:r>
    </w:p>
    <w:p>
      <w:r>
        <w:t>i</w:t>
      </w:r>
    </w:p>
    <w:p>
      <w:r>
        <w:t>o</w:t>
      </w:r>
    </w:p>
    <w:p>
      <w:r>
        <w:t>n</w:t>
      </w:r>
    </w:p>
    <w:p>
      <w:r>
        <w:t>a</w:t>
      </w:r>
    </w:p>
    <w:p>
      <w:r>
        <w:t>l</w:t>
      </w:r>
    </w:p>
    <w:p>
      <w:r>
        <w:t xml:space="preserve"> </w:t>
      </w:r>
    </w:p>
    <w:p>
      <w:r>
        <w:t>G</w:t>
      </w:r>
    </w:p>
    <w:p>
      <w:r>
        <w:t>u</w:t>
      </w:r>
    </w:p>
    <w:p>
      <w:r>
        <w:t>a</w:t>
      </w:r>
    </w:p>
    <w:p>
      <w:r>
        <w:t>r</w:t>
      </w:r>
    </w:p>
    <w:p>
      <w:r>
        <w:t>d</w:t>
      </w:r>
    </w:p>
    <w:p>
      <w:r>
        <w:t xml:space="preserve"> </w:t>
      </w:r>
    </w:p>
    <w:p>
      <w:r>
        <w:t>(</w:t>
      </w:r>
    </w:p>
    <w:p>
      <w:r>
        <w:t>S</w:t>
      </w:r>
    </w:p>
    <w:p>
      <w:r>
        <w:t>A</w:t>
      </w:r>
    </w:p>
    <w:p>
      <w:r>
        <w:t>N</w:t>
      </w:r>
    </w:p>
    <w:p>
      <w:r>
        <w:t>G</w:t>
      </w:r>
    </w:p>
    <w:p>
      <w:r>
        <w:t>)</w:t>
      </w:r>
    </w:p>
    <w:p>
      <w:r>
        <w:rPr>
          <w:b/>
        </w:rPr>
        <w:t>Глава I — Порядок утверждения устава, основания увольнения и обыски</w:t>
      </w:r>
    </w:p>
    <w:p>
      <w:r>
        <w:t>Было → стало: ранее в уставе стояла подпись Вице-Губернатора, а в п. 1.2 право вносить изменения единолично приписывалось Генералу. Теперь устав приведён в соответствие со ст. 41 ч. 1 Конституции штата San-Andreas: уставы государственных органов в обязательном порядке утверждаются Генеральным прокурором штата San-Andreas либо его заместителем.</w:t>
      </w:r>
    </w:p>
    <w:p>
      <w:r>
        <w:t>Почему: Конституция штата обладает высшей юридической силой. Устав силового ведомства, затрагивающий права граждан и порядок применения силы, не может действовать без санкции органа прокурорского надзора.</w:t>
      </w:r>
    </w:p>
    <w:p>
      <w:r>
        <w:t>Пример: Генерал вносит изменения в устав — проект направляется в ОГП. До утверждения Генеральным прокурором новые нормы не имеют юридической силы.</w:t>
      </w:r>
    </w:p>
    <w:p>
      <w:r>
        <w:rPr>
          <w:b/>
        </w:rPr>
        <w:t>Главы II и III — Задержание, первичный обыск и хранение видеозаписи 72 часа</w:t>
      </w:r>
    </w:p>
    <w:p>
      <w:r>
        <w:t>Было → стало: устав требовал хранить видеозаписи 48 часов — это было прямой коллизией с законом «О Национальной Гвардии» (ст. 10 ч. 5) и Процессуальным кодексом (ст. 32), где установлен срок 72 часа. Исправлено на 72 часа. Порядок задержания согласован со статьёй 17.3 ПК: военнослужащий надевает наручники, проводит первичный (личный) обыск без изъятия оружия, доставляет задержанного в ближайший участок LSPD/LSCSD/FIB (до 15 мин, с Кайо-Перико/авианосца — 30 мин) и передаёт видеозапись. Военнослужащие SANG права не читают и оружие не изымают.</w:t>
      </w:r>
    </w:p>
    <w:p>
      <w:r>
        <w:t>Почему: если гражданина задерживает армия, на месте спорили, кто оформляет и почему запись удалили через 48 часов. Теперь в уставе точная отсылка к закону — срок 72 часа и схема передачи без изъятия оружия.</w:t>
      </w:r>
    </w:p>
    <w:p>
      <w:r>
        <w:t>Пример: патруль SANG в округе Блэйн задержал нарушителя. Бойцы надевают наручники, обыскивают на наличие оружия (но не забирают), везут в участок шерифа в Палето-Бэй. Шериф принимает задержанного, читает права и изымает пистолет при аресте перед камерой КПЗ.</w:t>
      </w:r>
    </w:p>
    <w:p>
      <w:r>
        <w:rPr>
          <w:b/>
        </w:rPr>
        <w:t>Глава VI — Дресс-код и форма одежды (свободная форма только Генералитету)</w:t>
      </w:r>
    </w:p>
    <w:p>
      <w:r>
        <w:t>Было → стало: в действующем уставе свободная форма одежды размыто разрешалась «Генералитету и Старшему составу отдела», что приводило к тому, что офицеры ходили в гражданке на службе. Теперь чётко закреплено: свободная форма разрешена ИСКЛЮЧИТЕЛЬНО Генералитету SANG (14–16 ранги). Все военнослужащие с 1 по 13 ранг при исполнении обязанностей ОБЯЗАНЫ находиться в уставной форме своего взвода. Ношение масок разрешено только DF, AF и MP при спецоперациях/патрулях; остальным отделам закрывать лицо запрещено.</w:t>
      </w:r>
    </w:p>
    <w:p>
      <w:r>
        <w:t>Почему: военная организация держится на единообразии формы и распознаваемости личного состава. Офицеры и бойцы 1–13 рангов не имеют права нести службу в гражданской одежде.</w:t>
      </w:r>
    </w:p>
    <w:p>
      <w:r>
        <w:t>Пример: офицер 12 ранга заступил на дежурство в гражданском костюме — дежурный MP делает замечание и при отказе переодеться выписывает выговор.</w:t>
      </w:r>
    </w:p>
    <w:p>
      <w:r>
        <w:rPr>
          <w:b/>
        </w:rPr>
        <w:t>Глава VIII — Порядок выдачи наказаний и пресечение произвола (п. 8.1.1)</w:t>
      </w:r>
    </w:p>
    <w:p>
      <w:r>
        <w:t>Было → стало: на практике происходил произвол — например, Куратор MMS (13 ранг) собирал общий строй и объявлял выговоры офицерам Военной полиции (MP) 11 ранга и ниже. Введён пункт 8.1.1: командование подразделения (Куратор, Командир) имеет право наказывать ИСКЛЮЧИТЕЛЬНО бойцов СВОЕГО подразделения. Контроль за всей армией принадлежит только MP и Генералитету. Наказание бойцов чужого отдела или MP кураторами других отделов строжайше запрещено, признаётся юридически ничтожным, а виновный привлекается к ответственности за превышение полномочий.</w:t>
      </w:r>
    </w:p>
    <w:p>
      <w:r>
        <w:t>Почему: медики, пилоты или инструкторы не являются органами дисциплинарного дознания над другими взводами и тем более над MP.</w:t>
      </w:r>
    </w:p>
    <w:p>
      <w:r>
        <w:t>Пример: Куратор MMS недоволен действиями сотрудника MP. Куратор не имеет права объявлять выговор сотруднику MP — он обязан составить мотивированный рапорт с видеозаписью и передать его руководству MP либо Генералу SANG.</w:t>
      </w:r>
    </w:p>
    <w:p>
      <w:r>
        <w:rPr>
          <w:b/>
        </w:rPr>
        <w:t>Главы X и XV — Проверка медицинских справок подразделением MMS (п. 10.12–10.14)</w:t>
      </w:r>
    </w:p>
    <w:p>
      <w:r>
        <w:t>Было → стало: MMS самовольно созывало общие строи гарнизона в любое время под предлогом проверки справок. Теперь закреплено: MMS не имеет права самостоятельно созывать общий строй армии. Плановые проверки медсправок проводятся не чаще 1 раза в неделю по графику с предварительного разрешения Генералитета. Бойцы на КПП и в патрулях проверяются посменно без снятия с постов. При просрочке справки выговор на месте не объявляется — даётся 24 часа на посещение EMS и оформление документа.</w:t>
      </w:r>
    </w:p>
    <w:p>
      <w:r>
        <w:t>Почему: проверки здоровья не должны срывать несение боевого дежурства на КПП и поставки материалов в другие силовые структуры.</w:t>
      </w:r>
    </w:p>
    <w:p>
      <w:r>
        <w:t>Пример: во время планового осмотра у постового на КПП-1 истекла медсправка. Медик MMS делает запись в журнале и даёт бойцу 24 часа. Если через сутки боец не обновил справку — направляется рапорт командиру бойца на выговор.</w:t>
      </w:r>
    </w:p>
    <w:p>
      <w:r>
        <w:rPr>
          <w:b/>
        </w:rPr>
        <w:t>Глава VIII — Полная отмена поборов за выговоры и ограничение Чёрного списка</w:t>
      </w:r>
    </w:p>
    <w:p>
      <w:r>
        <w:t>Было → стало: в действующем уставе содержалась норма о «погашении» выговоров передачей бинтов на склад на сумму 0,000 (устный) и 0,000 (строгий). Это грубейшая коррупционная норма, противоречащая Уголовному и Трудовому кодексам. Норма полностью исключена. Отработка производится исключительно службой: дежурствами, патрулями, хозяйственными нарядами. Бессрочный ЧС исключён: срок ЧС определяется Трудовым кодексом, пожизненный ЧС — только по приговору суда.</w:t>
      </w:r>
    </w:p>
    <w:p>
      <w:r>
        <w:t>Почему: государственная военная организация не имеет права продавать снятие дисциплинарных наказаний за материальные ценности.</w:t>
      </w:r>
    </w:p>
    <w:p>
      <w:r>
        <w:t>Пример: рядовой получил выговор за нарушение субординации. Вместо закупки бинтов на 0,000 он назначается на 2 часа дополнительного дежурства на КПП-1 под контролем MP.</w:t>
      </w:r>
    </w:p>
    <w:p>
      <w:r>
        <w:rPr>
          <w:b/>
        </w:rPr>
        <w:t>Главы XIV и XV — Устранение опечаток в званиях и дублирования отделов (DF и AF)</w:t>
      </w:r>
    </w:p>
    <w:p>
      <w:r>
        <w:t>Было → стало: в главе XIV устранены опечатки («General Brigadier», разорванные строки). В главе XV устранено дублирование номера 15.3.7 (в оригинале дважды присутствовал пункт 15.3.7 — для DF и AF с одинаковым текстом задач). Сделана правильная сквозная нумерация 15.3.1 – 15.3.11, где Alpha Force [AF] получил свой реальный статус взвода тяжелого стрелкового вооружения и огневой поддержки.</w:t>
      </w:r>
    </w:p>
    <w:p>
      <w:r>
        <w:t>Почему: путаница в номерах отделов создавала коллизии при кадровых переводах и радиосвязи.</w:t>
      </w:r>
    </w:p>
    <w:p>
      <w:r>
        <w:t>Пример: боец переводится в Alpha Force. В рапортах и радиоэфире используется чёткий позывной AF и волна 100.309, а задачи взвода чётко разграничены со спецназом Delta Force (100.307).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