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b/>
          <w:i w:val="0"/>
          <w:color w:val="000000"/>
          <w:sz w:val="30"/>
        </w:rPr>
        <w:t>ПРАВОВОЙ АНАЛИЗ И ТОЧЕЧНЫЕ ИСПРАВЛЕНИЯ</w:t>
      </w:r>
    </w:p>
    <w:p>
      <w:pPr>
        <w:spacing w:before="0" w:after="120" w:line="276" w:lineRule="auto"/>
        <w:jc w:val="center"/>
      </w:pPr>
      <w:r>
        <w:rPr>
          <w:rFonts w:ascii="Times New Roman" w:hAnsi="Times New Roman"/>
          <w:b/>
          <w:i w:val="0"/>
          <w:color w:val="1F4E79"/>
          <w:sz w:val="24"/>
        </w:rPr>
        <w:t>По замечаниям Губернатора (автономия норм кодексов) и представителя Weazel News (оборот наручников)</w:t>
      </w:r>
    </w:p>
    <w:p>
      <w:pPr>
        <w:spacing w:before="0" w:after="280" w:line="276" w:lineRule="auto"/>
        <w:jc w:val="center"/>
      </w:pPr>
      <w:r>
        <w:rPr>
          <w:rFonts w:ascii="Times New Roman" w:hAnsi="Times New Roman"/>
          <w:b w:val="0"/>
          <w:i/>
          <w:color w:val="555555"/>
          <w:sz w:val="21"/>
        </w:rPr>
        <w:t>Экспертное заключение, правовая квалификация коллизий и готовые формулировки для внесения в законодательство</w:t>
      </w:r>
    </w:p>
    <w:p>
      <w:pPr>
        <w:spacing w:before="280" w:after="80" w:line="276" w:lineRule="auto"/>
        <w:jc w:val="left"/>
      </w:pPr>
      <w:r>
        <w:rPr>
          <w:rFonts w:ascii="Times New Roman" w:hAnsi="Times New Roman"/>
          <w:b/>
          <w:i w:val="0"/>
          <w:color w:val="1F4E79"/>
          <w:sz w:val="28"/>
        </w:rPr>
        <w:t>РАЗДЕЛ I. ВОПРОС ПРЕДСТАВИТЕЛЯ WEAZEL NEWS: ПРАВО НА НАРУЧНИКИ</w:t>
      </w:r>
    </w:p>
    <w:tbl>
      <w:tblPr>
        <w:tblW w:type="auto" w:w="0"/>
        <w:jc w:val="center"/>
        <w:tblLook w:firstColumn="1" w:firstRow="1" w:lastColumn="0" w:lastRow="0" w:noHBand="0" w:noVBand="1" w:val="04A0"/>
      </w:tblPr>
      <w:tblGrid>
        <w:gridCol w:w="9792"/>
      </w:tblGrid>
      <w:tr>
        <w:tc>
          <w:tcPr>
            <w:tcW w:type="dxa" w:w="9792"/>
            <w:shd w:val="clear" w:color="auto" w:fill="F2F4F7"/>
            <w:tcMar>
              <w:top w:w="120" w:type="dxa"/>
              <w:bottom w:w="120" w:type="dxa"/>
              <w:left w:w="180" w:type="dxa"/>
              <w:right w:w="180" w:type="dxa"/>
            </w:tcMar>
          </w:tcPr>
          <w:p>
            <w:pPr>
              <w:spacing w:before="40" w:after="60" w:line="276" w:lineRule="auto"/>
            </w:pPr>
            <w:r>
              <w:rPr>
                <w:rFonts w:ascii="Times New Roman" w:hAnsi="Times New Roman"/>
                <w:b/>
                <w:color w:val="1F4E79"/>
                <w:sz w:val="22"/>
              </w:rPr>
              <w:t>1. Суть проблемы со слов представителя Weazel News:</w:t>
              <w:br/>
            </w:r>
            <w:r>
              <w:rPr>
                <w:rFonts w:ascii="Times New Roman" w:hAnsi="Times New Roman"/>
                <w:sz w:val="21"/>
              </w:rPr>
              <w:t>«А право на использование наручников поправили? По старой законке мы имеем право задержать, но хранить при себе наручники — нет».</w:t>
              <w:br/>
              <w:br/>
              <w:t>Действительно, в действующей законодательной базе штата San-Andreas существовала опасная правовая ловушка для сотрудников Weazel News, приводившая к регулярным задержаниям охранников и журналистов сотрудниками полиции (LSPD) и шерифами (LSCSD).</w:t>
            </w:r>
          </w:p>
          <w:p>
            <w:pPr>
              <w:spacing w:before="60" w:after="40" w:line="276" w:lineRule="auto"/>
            </w:pPr>
            <w:r>
              <w:rPr>
                <w:rFonts w:ascii="Times New Roman" w:hAnsi="Times New Roman"/>
                <w:b/>
                <w:sz w:val="21"/>
              </w:rPr>
              <w:t xml:space="preserve">• Где крылась коллизия в старом законодательстве: </w:t>
            </w:r>
            <w:r>
              <w:rPr>
                <w:rFonts w:ascii="Times New Roman" w:hAnsi="Times New Roman"/>
                <w:sz w:val="21"/>
              </w:rPr>
              <w:t>В Процессуальном кодексе (ст. 17.2 ч. 1 п. «а») прямо записано: сотрудник WN при задержании нарушителя обязан «надеть наручники на подозреваемого». В Законе о СМИ (№ 171, ст. 14) закреплено право на задержание. Однако в Уголовном кодексе (ст. 12.8.1 УК) закреплено наказание до 4 лет лишения свободы за хранение гражданскими лицами спецсредств государственного образца без исключений для WN!</w:t>
            </w:r>
          </w:p>
          <w:p>
            <w:pPr>
              <w:spacing w:before="60" w:after="40" w:line="276" w:lineRule="auto"/>
            </w:pPr>
            <w:r>
              <w:rPr>
                <w:rFonts w:ascii="Times New Roman" w:hAnsi="Times New Roman"/>
                <w:b/>
                <w:sz w:val="21"/>
              </w:rPr>
              <w:t xml:space="preserve">• Абсурд правоприменения на сервере: </w:t>
            </w:r>
            <w:r>
              <w:rPr>
                <w:rFonts w:ascii="Times New Roman" w:hAnsi="Times New Roman"/>
                <w:sz w:val="21"/>
              </w:rPr>
              <w:t>Сотрудник охраны Weazel News заступает на смену, берёт на складе или покупает наручники, чтобы нести службу в холле офиса. При выходе из здания либо при патрулировании парковки его досматривает патруль LSPD/LSCSD, находит наручники и оформляет по статье 12.8.1 УК как уголовного преступника! Задерживать право дали, а легально иметь при себе наручники не разрешили.</w:t>
            </w:r>
          </w:p>
          <w:p>
            <w:pPr>
              <w:spacing w:before="60" w:after="40" w:line="276" w:lineRule="auto"/>
            </w:pPr>
            <w:r>
              <w:rPr>
                <w:rFonts w:ascii="Times New Roman" w:hAnsi="Times New Roman"/>
                <w:b/>
                <w:sz w:val="21"/>
              </w:rPr>
              <w:t xml:space="preserve">• Недостаточность Закона № 161: </w:t>
            </w:r>
            <w:r>
              <w:rPr>
                <w:rFonts w:ascii="Times New Roman" w:hAnsi="Times New Roman"/>
                <w:sz w:val="21"/>
              </w:rPr>
              <w:t>В Законе «О регулировании оборота оружия и спецсредств» (161.txt, ст. 16 примечание 2) есть оговорка: «Сотрудникам Weazel News разрешено использование и ношение наручников исключительно в офисе и на прилегающей территории». Но слово «хранение при себе» и «приобретение» там не упомянуты, а в самом Уголовном кодексе (ст. 12.8.1 УК) исключение вообще отсутствовало.</w:t>
            </w:r>
          </w:p>
        </w:tc>
      </w:tr>
    </w:tbl>
    <w:tbl>
      <w:tblPr>
        <w:tblW w:type="auto" w:w="0"/>
        <w:jc w:val="center"/>
        <w:tblLook w:firstColumn="1" w:firstRow="1" w:lastColumn="0" w:lastRow="0" w:noHBand="0" w:noVBand="1" w:val="04A0"/>
      </w:tblPr>
      <w:tblGrid>
        <w:gridCol w:w="9792"/>
      </w:tblGrid>
      <w:tr>
        <w:tc>
          <w:tcPr>
            <w:tcW w:type="dxa" w:w="9792"/>
            <w:shd w:val="clear" w:color="auto" w:fill="F2F4F7"/>
            <w:tcMar>
              <w:top w:w="120" w:type="dxa"/>
              <w:bottom w:w="120" w:type="dxa"/>
              <w:left w:w="180" w:type="dxa"/>
              <w:right w:w="180" w:type="dxa"/>
            </w:tcMar>
          </w:tcPr>
          <w:p>
            <w:pPr>
              <w:spacing w:before="40" w:after="60" w:line="276" w:lineRule="auto"/>
            </w:pPr>
            <w:r>
              <w:rPr>
                <w:rFonts w:ascii="Times New Roman" w:hAnsi="Times New Roman"/>
                <w:b/>
                <w:color w:val="1F4E79"/>
                <w:sz w:val="22"/>
              </w:rPr>
              <w:t>2. Точечные исправления для полного и окончательного решения проблемы Weazel News:</w:t>
              <w:br/>
            </w:r>
            <w:r>
              <w:rPr>
                <w:rFonts w:ascii="Times New Roman" w:hAnsi="Times New Roman"/>
                <w:sz w:val="21"/>
              </w:rPr>
              <w:t>Чтобы устранить эту правовую коллизию раз и навсегда, внесены взаимосвязанные точечные поправки в 3 нормативных акта:</w:t>
            </w:r>
          </w:p>
          <w:p>
            <w:pPr>
              <w:spacing w:before="60" w:after="40" w:line="276" w:lineRule="auto"/>
            </w:pPr>
            <w:r>
              <w:rPr>
                <w:rFonts w:ascii="Times New Roman" w:hAnsi="Times New Roman"/>
                <w:b/>
                <w:sz w:val="21"/>
              </w:rPr>
              <w:t xml:space="preserve">• 1) В Уголовный кодекс штата San-Andreas (ст. 12.8.1 УК): </w:t>
            </w:r>
            <w:r>
              <w:rPr>
                <w:rFonts w:ascii="Times New Roman" w:hAnsi="Times New Roman"/>
                <w:sz w:val="21"/>
              </w:rPr>
              <w:t>Статья 12.8.1 УК дополняется прямым императивным примечанием:</w:t>
              <w:br/>
              <w:t>«Примечание: Действие настоящей статьи в части хранения, ношения и использования наручников не распространяется на уполномоченных сотрудников Weazel News при исполнении служебных обязанностей по охране помещений, обеспечению безопасности и осуществлению гражданского задержания в соответствии с законом «О средствах массовой информации» и Процессуальным кодексом штата San-Andreas».</w:t>
              <w:br/>
              <w:t>Результат: теперь ни один сотрудник полиции или прокурор не сможет инкриминировать ст. 12.8.1 УК сотруднику WN за наличие при себе наручников.</w:t>
            </w:r>
          </w:p>
          <w:p>
            <w:pPr>
              <w:spacing w:before="60" w:after="40" w:line="276" w:lineRule="auto"/>
            </w:pPr>
            <w:r>
              <w:rPr>
                <w:rFonts w:ascii="Times New Roman" w:hAnsi="Times New Roman"/>
                <w:b/>
                <w:sz w:val="21"/>
              </w:rPr>
              <w:t xml:space="preserve">• 2) В Процессуальный кодекс штата San-Andreas (ст. 17.2 ч. 1 п. «а» и ст. 17.3 ч. 1 п. «в»): </w:t>
            </w:r>
            <w:r>
              <w:rPr>
                <w:rFonts w:ascii="Times New Roman" w:hAnsi="Times New Roman"/>
                <w:sz w:val="21"/>
              </w:rPr>
              <w:t>В подпункт «а» части 1 статьи 17.2 ПК внесено уточнение:</w:t>
              <w:br/>
              <w:t>«а) Надеть наручники на подозреваемого (уполномоченные сотрудники Weazel News в целях обеспечения безопасности офиса и прилегающей территории вправе приобретать, хранить при себе, носить и применять наручники)».</w:t>
              <w:br/>
              <w:t>Результат: процессуальная норма прямо легализует нахождение наручников в инвентаре сотрудника WN.</w:t>
            </w:r>
          </w:p>
          <w:p>
            <w:pPr>
              <w:spacing w:before="60" w:after="40" w:line="276" w:lineRule="auto"/>
            </w:pPr>
            <w:r>
              <w:rPr>
                <w:rFonts w:ascii="Times New Roman" w:hAnsi="Times New Roman"/>
                <w:b/>
                <w:sz w:val="21"/>
              </w:rPr>
              <w:t xml:space="preserve">• 3) В Закон «О средствах массовой информации штата San-Andreas» (171.txt, ст. 14 ч. 1): </w:t>
            </w:r>
            <w:r>
              <w:rPr>
                <w:rFonts w:ascii="Times New Roman" w:hAnsi="Times New Roman"/>
                <w:sz w:val="21"/>
              </w:rPr>
              <w:t>Часть 1 статьи 14 Закона о СМИ дополняется предложением:</w:t>
              <w:br/>
              <w:t>«В целях реализации указанного права сотрудники Weazel News имеют право на ношение, хранение при себе и применение специальных средств ограничения подвижности (наручников) в пределах охраняемых объектов и прилегающей территории».</w:t>
              <w:br/>
              <w:t>Результат: полное согласование УК, ПК и отраслевого закона о СМИ.</w:t>
            </w:r>
          </w:p>
        </w:tc>
      </w:tr>
    </w:tbl>
    <w:p>
      <w:pPr>
        <w:spacing w:before="280" w:after="80" w:line="276" w:lineRule="auto"/>
        <w:jc w:val="left"/>
      </w:pPr>
      <w:r>
        <w:rPr>
          <w:rFonts w:ascii="Times New Roman" w:hAnsi="Times New Roman"/>
          <w:b/>
          <w:i w:val="0"/>
          <w:color w:val="1F4E79"/>
          <w:sz w:val="28"/>
        </w:rPr>
        <w:t>РАЗДЕЛ II. ЗАМЕЧАНИЕ ГУБЕРНАТОРА: ЛИКВИДАЦИЯ БЛАНКЕТНЫХ НОРМ И АВТОНОМИЯ КОДЕКСОВ</w:t>
      </w:r>
    </w:p>
    <w:tbl>
      <w:tblPr>
        <w:tblW w:type="auto" w:w="0"/>
        <w:jc w:val="center"/>
        <w:tblLook w:firstColumn="1" w:firstRow="1" w:lastColumn="0" w:lastRow="0" w:noHBand="0" w:noVBand="1" w:val="04A0"/>
      </w:tblPr>
      <w:tblGrid>
        <w:gridCol w:w="9792"/>
      </w:tblGrid>
      <w:tr>
        <w:tc>
          <w:tcPr>
            <w:tcW w:type="dxa" w:w="9792"/>
            <w:shd w:val="clear" w:color="auto" w:fill="F2F4F7"/>
            <w:tcMar>
              <w:top w:w="120" w:type="dxa"/>
              <w:bottom w:w="120" w:type="dxa"/>
              <w:left w:w="180" w:type="dxa"/>
              <w:right w:w="180" w:type="dxa"/>
            </w:tcMar>
          </w:tcPr>
          <w:p>
            <w:pPr>
              <w:spacing w:before="40" w:after="60" w:line="276" w:lineRule="auto"/>
            </w:pPr>
            <w:r>
              <w:rPr>
                <w:rFonts w:ascii="Times New Roman" w:hAnsi="Times New Roman"/>
                <w:b/>
                <w:color w:val="1F4E79"/>
                <w:sz w:val="22"/>
              </w:rPr>
              <w:t>1. Анализ замечания Губернатора:</w:t>
              <w:br/>
            </w:r>
            <w:r>
              <w:rPr>
                <w:rFonts w:ascii="Times New Roman" w:hAnsi="Times New Roman"/>
                <w:sz w:val="21"/>
              </w:rPr>
              <w:t>Губернатор абсолютно справедливо указал на системный дефект законодательной техники: «слишком много бланкетных норм, мы придерживаемся того, чтобы кодексы и законы были самостоятельные без миллионых отсылок, тут отсылка на КЗ о прокуратуре (который ещё не приняли); Закон о ордерах и так далее».</w:t>
              <w:br/>
              <w:br/>
              <w:t>Юридический анализ подтверждает: избыток бланкетных (отсылочных) норм разрушает правоприменительную практику на сервере:</w:t>
            </w:r>
          </w:p>
          <w:p>
            <w:pPr>
              <w:spacing w:before="60" w:after="40" w:line="276" w:lineRule="auto"/>
            </w:pPr>
            <w:r>
              <w:rPr>
                <w:rFonts w:ascii="Times New Roman" w:hAnsi="Times New Roman"/>
                <w:b/>
                <w:sz w:val="21"/>
              </w:rPr>
              <w:t xml:space="preserve">• Опасность ссылок на непринятые законы: </w:t>
            </w:r>
            <w:r>
              <w:rPr>
                <w:rFonts w:ascii="Times New Roman" w:hAnsi="Times New Roman"/>
                <w:sz w:val="21"/>
              </w:rPr>
              <w:t>В ст. 15 ч. 2 ПК присутствовала фраза «...в пределах полномочий, установленных Конституционным Законом «О деятельности офиса Генерального прокурора штата San-Andreas»». Поскольку данный закон (174.txt) ещё находится на рассмотрении Сената и не вступил в силу, такая отсылка порождала юридическую ничтожность: кодекс отсылал к несуществующему акту!</w:t>
            </w:r>
          </w:p>
          <w:p>
            <w:pPr>
              <w:spacing w:before="60" w:after="40" w:line="276" w:lineRule="auto"/>
            </w:pPr>
            <w:r>
              <w:rPr>
                <w:rFonts w:ascii="Times New Roman" w:hAnsi="Times New Roman"/>
                <w:b/>
                <w:sz w:val="21"/>
              </w:rPr>
              <w:t xml:space="preserve">• Проблема «миллиона отсылок» для рядового сотрудника: </w:t>
            </w:r>
            <w:r>
              <w:rPr>
                <w:rFonts w:ascii="Times New Roman" w:hAnsi="Times New Roman"/>
                <w:sz w:val="21"/>
              </w:rPr>
              <w:t>Когда патрульный полицейский или боец SANG на улице проводит процессуальные действия, у него нет времени открывать 4 разных вкладки браузера: смотреть ПК, потом прыгать в Закон об ордерах, затем в Закон о неприкосновенности и Закон об ОГП. Если в ПК написано «в порядке закона об ордерах», офицер не знает, что именно ему делать здесь и сейчас.</w:t>
            </w:r>
          </w:p>
          <w:p>
            <w:pPr>
              <w:spacing w:before="60" w:after="40" w:line="276" w:lineRule="auto"/>
            </w:pPr>
            <w:r>
              <w:rPr>
                <w:rFonts w:ascii="Times New Roman" w:hAnsi="Times New Roman"/>
                <w:b/>
                <w:sz w:val="21"/>
              </w:rPr>
              <w:t xml:space="preserve">• Принцип автономии и самодостаточности кодексов: </w:t>
            </w:r>
            <w:r>
              <w:rPr>
                <w:rFonts w:ascii="Times New Roman" w:hAnsi="Times New Roman"/>
                <w:sz w:val="21"/>
              </w:rPr>
              <w:t>Процессуальный кодекс штата San-Andreas должен быть самодостаточным процессуальным ядром. Базовое правило, срок и процессуальное полномочие должны быть прямо прописаны в диспозиции самой статьи кодекса, а не прятаться во внешних законах.</w:t>
            </w:r>
          </w:p>
        </w:tc>
      </w:tr>
    </w:tbl>
    <w:tbl>
      <w:tblPr>
        <w:tblW w:type="auto" w:w="0"/>
        <w:jc w:val="center"/>
        <w:tblLook w:firstColumn="1" w:firstRow="1" w:lastColumn="0" w:lastRow="0" w:noHBand="0" w:noVBand="1" w:val="04A0"/>
      </w:tblPr>
      <w:tblGrid>
        <w:gridCol w:w="9792"/>
      </w:tblGrid>
      <w:tr>
        <w:tc>
          <w:tcPr>
            <w:tcW w:type="dxa" w:w="9792"/>
            <w:shd w:val="clear" w:color="auto" w:fill="F2F4F7"/>
            <w:tcMar>
              <w:top w:w="120" w:type="dxa"/>
              <w:bottom w:w="120" w:type="dxa"/>
              <w:left w:w="180" w:type="dxa"/>
              <w:right w:w="180" w:type="dxa"/>
            </w:tcMar>
          </w:tcPr>
          <w:p>
            <w:pPr>
              <w:spacing w:before="40" w:after="60" w:line="276" w:lineRule="auto"/>
            </w:pPr>
            <w:r>
              <w:rPr>
                <w:rFonts w:ascii="Times New Roman" w:hAnsi="Times New Roman"/>
                <w:b/>
                <w:color w:val="1F4E79"/>
                <w:sz w:val="22"/>
              </w:rPr>
              <w:t>2. Точечные исправления по исключению бланкетных норм и обеспечению автономности ПК:</w:t>
              <w:br/>
            </w:r>
            <w:r>
              <w:rPr>
                <w:rFonts w:ascii="Times New Roman" w:hAnsi="Times New Roman"/>
                <w:sz w:val="21"/>
              </w:rPr>
              <w:t>В Процессуальный кодекс (законопроект ACT. 001) внесены точечные изменения, сделавшие ключевые процессуальные нормы автономными и убравшие любые упоминания непринятых актов:</w:t>
            </w:r>
          </w:p>
          <w:p>
            <w:pPr>
              <w:spacing w:before="60" w:after="40" w:line="276" w:lineRule="auto"/>
            </w:pPr>
            <w:r>
              <w:rPr>
                <w:rFonts w:ascii="Times New Roman" w:hAnsi="Times New Roman"/>
                <w:b/>
                <w:sz w:val="21"/>
              </w:rPr>
              <w:t xml:space="preserve">• Точечное исправление 1: Статья 15 ч. 2 ПК (Исключение КЗ об ОГП): </w:t>
            </w:r>
            <w:r>
              <w:rPr>
                <w:rFonts w:ascii="Times New Roman" w:hAnsi="Times New Roman"/>
                <w:sz w:val="21"/>
              </w:rPr>
              <w:t>БЫЛО: «...ОГП участвует в задержании и проводит процессуальные действия в пределах полномочий, установленных настоящим Кодексом и Конституционным Законом «О деятельности офиса Генерального прокурора штата San-Andreas»».</w:t>
              <w:br/>
              <w:t>СТАЛО: «...ОГП участвует в задержании и проводит процессуальные действия в пределах надзорных полномочий, установленных статьями 40–41 Конституции штата San-Andreas и настоящим Кодексом».</w:t>
              <w:br/>
              <w:t>Результат: ликвидирована ссылка на непринятый закон 174; полномочия прокуратуры опираются прямо на принятую Конституцию штата.</w:t>
            </w:r>
          </w:p>
          <w:p>
            <w:pPr>
              <w:spacing w:before="60" w:after="40" w:line="276" w:lineRule="auto"/>
            </w:pPr>
            <w:r>
              <w:rPr>
                <w:rFonts w:ascii="Times New Roman" w:hAnsi="Times New Roman"/>
                <w:b/>
                <w:sz w:val="21"/>
              </w:rPr>
              <w:t xml:space="preserve">• Точечное исправление 2: Статья 4 ч. 2 и ч. 3 ПК (Автономный порядок обыска жилища): </w:t>
            </w:r>
            <w:r>
              <w:rPr>
                <w:rFonts w:ascii="Times New Roman" w:hAnsi="Times New Roman"/>
                <w:sz w:val="21"/>
              </w:rPr>
              <w:t>БЫЛО: «Обыск жилища производится на основании судебного акта либо ордера типа AR или AC, авторизованного в порядке, установленном законом «О системе ордеров штата San-Andreas»...».</w:t>
              <w:br/>
              <w:t>СТАЛО: «Обыск жилища производится на основании вступившего в законную силу судебного акта либо ордера Генерального прокурора штата San-Andreas (его заместителей) на проведение рейда (Access to Raid, AR) или оцепления с правом обыска (Access to Cordon, AC), в котором прямо указан адрес или индивидуализирующие признаки подлежащего обыску помещения...».</w:t>
              <w:br/>
              <w:t>Результат: норма ст. 4 ПК стала полностью самодостаточной: офицеру прямо в ПК написано, чья подпись нужна (Генпрокурор, заместители или судья) и какой тип ордера требуется, без необходимости искать Закон № 172.</w:t>
            </w:r>
          </w:p>
          <w:p>
            <w:pPr>
              <w:spacing w:before="60" w:after="40" w:line="276" w:lineRule="auto"/>
            </w:pPr>
            <w:r>
              <w:rPr>
                <w:rFonts w:ascii="Times New Roman" w:hAnsi="Times New Roman"/>
                <w:b/>
                <w:sz w:val="21"/>
              </w:rPr>
              <w:t xml:space="preserve">• Точечное исправление 3: Статья 19 ч. 6 ПК (Автономный порядок задержания неприкосновенных лиц): </w:t>
            </w:r>
            <w:r>
              <w:rPr>
                <w:rFonts w:ascii="Times New Roman" w:hAnsi="Times New Roman"/>
                <w:sz w:val="21"/>
              </w:rPr>
              <w:t>БЫЛО: «Задержание лица, обладающего статусом неприкосновенности, производится с соблюдением закона «Об обеспечении неприкосновенности» и закона «О системе ордеров»» (чистая бланкетная норма-пустышка).</w:t>
              <w:br/>
              <w:t>СТАЛО: «ч. 6. Лицо, обладающее статусом неприкосновенности, может быть задержано исключительно при непосредственной угрозе жизни окружающих людей, при совершении преступления против жизни, либо при наличии судебного акта или ордера на приостановление (SI) или снятие (RI, AS) неприкосновенности. О факте задержания немедленно уведомляется ОГП, а предельный срок ожидания решения уполномоченных лиц о выдаче ордера не может превышать 1 часа с момента доставления, по истечении которого лицо подлежит незамедлительному освобождению».</w:t>
              <w:br/>
              <w:t>Результат: все основания, лица, ордера и 1-часовой лимит ожидания прописаны прямо в ПК! Никаких внешних отсылок.</w:t>
            </w:r>
          </w:p>
          <w:p>
            <w:pPr>
              <w:spacing w:before="60" w:after="40" w:line="276" w:lineRule="auto"/>
            </w:pPr>
            <w:r>
              <w:rPr>
                <w:rFonts w:ascii="Times New Roman" w:hAnsi="Times New Roman"/>
                <w:b/>
                <w:sz w:val="21"/>
              </w:rPr>
              <w:t xml:space="preserve">• Точечное исправление 4: Статья 17.3 ч. 4 и ч. 8 ПК (Автономия первичного и вторичного обыска): </w:t>
            </w:r>
            <w:r>
              <w:rPr>
                <w:rFonts w:ascii="Times New Roman" w:hAnsi="Times New Roman"/>
                <w:sz w:val="21"/>
              </w:rPr>
              <w:t>В самой статье 17.3 ПК прямо расписано: что входит в первичный обыск (проверка на оружие/взрывчатку без изъятия силами SANG/USSS/WN) и вторичный обыск (процессуальное изъятие исключительно силами LSPD/LSCSD/FIB перед посадкой в КПЗ), исключив отсылки к разрозненным отраслевым инструкциям.</w:t>
            </w:r>
          </w:p>
        </w:tc>
      </w:tr>
    </w:tbl>
    <w:p>
      <w:pPr>
        <w:spacing w:before="280" w:after="80" w:line="276" w:lineRule="auto"/>
        <w:jc w:val="left"/>
      </w:pPr>
      <w:r>
        <w:rPr>
          <w:rFonts w:ascii="Times New Roman" w:hAnsi="Times New Roman"/>
          <w:b/>
          <w:i w:val="0"/>
          <w:color w:val="1F4E79"/>
          <w:sz w:val="28"/>
        </w:rPr>
        <w:t>РАЗДЕЛ III. СВОДНАЯ ТАБЛИЦА: ГДЕ ТОЧЕЧНО ВНЕСТИ ИЗМЕНЕНИЯ</w:t>
      </w:r>
    </w:p>
    <w:tbl>
      <w:tblPr>
        <w:tblW w:type="auto" w:w="0"/>
        <w:jc w:val="center"/>
        <w:tblLook w:firstColumn="1" w:firstRow="1" w:lastColumn="0" w:lastRow="0" w:noHBand="0" w:noVBand="1" w:val="04A0"/>
      </w:tblPr>
      <w:tblGrid>
        <w:gridCol w:w="3264"/>
        <w:gridCol w:w="3264"/>
        <w:gridCol w:w="3264"/>
      </w:tblGrid>
      <w:tr>
        <w:tc>
          <w:tcPr>
            <w:tcW w:type="dxa" w:w="2592"/>
            <w:shd w:val="clear" w:color="auto" w:fill="D9E1F2"/>
          </w:tcPr>
          <w:p>
            <w:r>
              <w:rPr>
                <w:rFonts w:ascii="Times New Roman" w:hAnsi="Times New Roman"/>
                <w:b/>
                <w:sz w:val="20"/>
              </w:rPr>
              <w:t>Акт и статья</w:t>
            </w:r>
          </w:p>
        </w:tc>
        <w:tc>
          <w:tcPr>
            <w:tcW w:type="dxa" w:w="3168"/>
            <w:shd w:val="clear" w:color="auto" w:fill="D9E1F2"/>
          </w:tcPr>
          <w:p>
            <w:r>
              <w:rPr>
                <w:rFonts w:ascii="Times New Roman" w:hAnsi="Times New Roman"/>
                <w:b/>
                <w:sz w:val="20"/>
              </w:rPr>
              <w:t>Что исключено / изменено</w:t>
            </w:r>
          </w:p>
        </w:tc>
        <w:tc>
          <w:tcPr>
            <w:tcW w:type="dxa" w:w="4032"/>
            <w:shd w:val="clear" w:color="auto" w:fill="D9E1F2"/>
          </w:tcPr>
          <w:p>
            <w:r>
              <w:rPr>
                <w:rFonts w:ascii="Times New Roman" w:hAnsi="Times New Roman"/>
                <w:b/>
                <w:sz w:val="20"/>
              </w:rPr>
              <w:t>Новая автономная редакция нормы</w:t>
            </w:r>
          </w:p>
        </w:tc>
      </w:tr>
      <w:tr>
        <w:tc>
          <w:tcPr>
            <w:tcW w:type="dxa" w:w="2592"/>
          </w:tcPr>
          <w:p>
            <w:pPr>
              <w:spacing w:before="40" w:after="40"/>
            </w:pPr>
            <w:r>
              <w:rPr>
                <w:rFonts w:ascii="Times New Roman" w:hAnsi="Times New Roman"/>
                <w:sz w:val="19"/>
              </w:rPr>
              <w:t>УК штата San-Andreas, статья 12.8.1</w:t>
            </w:r>
          </w:p>
        </w:tc>
        <w:tc>
          <w:tcPr>
            <w:tcW w:type="dxa" w:w="3168"/>
          </w:tcPr>
          <w:p>
            <w:pPr>
              <w:spacing w:before="40" w:after="40"/>
            </w:pPr>
            <w:r>
              <w:rPr>
                <w:rFonts w:ascii="Times New Roman" w:hAnsi="Times New Roman"/>
                <w:sz w:val="19"/>
              </w:rPr>
              <w:t>Отсутствовало исключение для WN; охранников привлекали за наручники.</w:t>
            </w:r>
          </w:p>
        </w:tc>
        <w:tc>
          <w:tcPr>
            <w:tcW w:type="dxa" w:w="4032"/>
          </w:tcPr>
          <w:p>
            <w:pPr>
              <w:spacing w:before="40" w:after="40"/>
            </w:pPr>
            <w:r>
              <w:rPr>
                <w:rFonts w:ascii="Times New Roman" w:hAnsi="Times New Roman"/>
                <w:sz w:val="19"/>
              </w:rPr>
              <w:t>Дополнено Примечанием: статья не распространяется на хранение, ношение и использование наручников сотрудниками Weazel News при исполнении служебных обязанностей по охране офиса.</w:t>
            </w:r>
          </w:p>
        </w:tc>
      </w:tr>
      <w:tr>
        <w:tc>
          <w:tcPr>
            <w:tcW w:type="dxa" w:w="2592"/>
          </w:tcPr>
          <w:p>
            <w:pPr>
              <w:spacing w:before="40" w:after="40"/>
            </w:pPr>
            <w:r>
              <w:rPr>
                <w:rFonts w:ascii="Times New Roman" w:hAnsi="Times New Roman"/>
                <w:sz w:val="19"/>
              </w:rPr>
              <w:t>ПК штата San-Andreas, статья 17.2 ч. 1 п. «а»</w:t>
            </w:r>
          </w:p>
        </w:tc>
        <w:tc>
          <w:tcPr>
            <w:tcW w:type="dxa" w:w="3168"/>
          </w:tcPr>
          <w:p>
            <w:pPr>
              <w:spacing w:before="40" w:after="40"/>
            </w:pPr>
            <w:r>
              <w:rPr>
                <w:rFonts w:ascii="Times New Roman" w:hAnsi="Times New Roman"/>
                <w:sz w:val="19"/>
              </w:rPr>
              <w:t>Было только «надеть наручники», право хранить при себе не раскрыто.</w:t>
            </w:r>
          </w:p>
        </w:tc>
        <w:tc>
          <w:tcPr>
            <w:tcW w:type="dxa" w:w="4032"/>
          </w:tcPr>
          <w:p>
            <w:pPr>
              <w:spacing w:before="40" w:after="40"/>
            </w:pPr>
            <w:r>
              <w:rPr>
                <w:rFonts w:ascii="Times New Roman" w:hAnsi="Times New Roman"/>
                <w:sz w:val="19"/>
              </w:rPr>
              <w:t>Уточнено: сотрудники Weazel News в целях охраны офиса вправе приобретать, хранить при себе, носить и применять наручники.</w:t>
            </w:r>
          </w:p>
        </w:tc>
      </w:tr>
      <w:tr>
        <w:tc>
          <w:tcPr>
            <w:tcW w:type="dxa" w:w="2592"/>
          </w:tcPr>
          <w:p>
            <w:pPr>
              <w:spacing w:before="40" w:after="40"/>
            </w:pPr>
            <w:r>
              <w:rPr>
                <w:rFonts w:ascii="Times New Roman" w:hAnsi="Times New Roman"/>
                <w:sz w:val="19"/>
              </w:rPr>
              <w:t>ПК штата San-Andreas, статья 15 ч. 2</w:t>
            </w:r>
          </w:p>
        </w:tc>
        <w:tc>
          <w:tcPr>
            <w:tcW w:type="dxa" w:w="3168"/>
          </w:tcPr>
          <w:p>
            <w:pPr>
              <w:spacing w:before="40" w:after="40"/>
            </w:pPr>
            <w:r>
              <w:rPr>
                <w:rFonts w:ascii="Times New Roman" w:hAnsi="Times New Roman"/>
                <w:sz w:val="19"/>
              </w:rPr>
              <w:t>Исключена бланкетная ссылка на непринятый КЗ об ОГП (174.txt).</w:t>
            </w:r>
          </w:p>
        </w:tc>
        <w:tc>
          <w:tcPr>
            <w:tcW w:type="dxa" w:w="4032"/>
          </w:tcPr>
          <w:p>
            <w:pPr>
              <w:spacing w:before="40" w:after="40"/>
            </w:pPr>
            <w:r>
              <w:rPr>
                <w:rFonts w:ascii="Times New Roman" w:hAnsi="Times New Roman"/>
                <w:sz w:val="19"/>
              </w:rPr>
              <w:t>Полномочия ОГП привязаны напрямую к статьям 40–41 принятой Конституции штата San-Andreas и нормам ПК.</w:t>
            </w:r>
          </w:p>
        </w:tc>
      </w:tr>
      <w:tr>
        <w:tc>
          <w:tcPr>
            <w:tcW w:type="dxa" w:w="2592"/>
          </w:tcPr>
          <w:p>
            <w:pPr>
              <w:spacing w:before="40" w:after="40"/>
            </w:pPr>
            <w:r>
              <w:rPr>
                <w:rFonts w:ascii="Times New Roman" w:hAnsi="Times New Roman"/>
                <w:sz w:val="19"/>
              </w:rPr>
              <w:t>ПК штата San-Andreas, статья 4 ч. 2, 3</w:t>
            </w:r>
          </w:p>
        </w:tc>
        <w:tc>
          <w:tcPr>
            <w:tcW w:type="dxa" w:w="3168"/>
          </w:tcPr>
          <w:p>
            <w:pPr>
              <w:spacing w:before="40" w:after="40"/>
            </w:pPr>
            <w:r>
              <w:rPr>
                <w:rFonts w:ascii="Times New Roman" w:hAnsi="Times New Roman"/>
                <w:sz w:val="19"/>
              </w:rPr>
              <w:t>Исключена бланкетная отсылка к закону о системе ордеров.</w:t>
            </w:r>
          </w:p>
        </w:tc>
        <w:tc>
          <w:tcPr>
            <w:tcW w:type="dxa" w:w="4032"/>
          </w:tcPr>
          <w:p>
            <w:pPr>
              <w:spacing w:before="40" w:after="40"/>
            </w:pPr>
            <w:r>
              <w:rPr>
                <w:rFonts w:ascii="Times New Roman" w:hAnsi="Times New Roman"/>
                <w:sz w:val="19"/>
              </w:rPr>
              <w:t>Прямо в ПК указано: ордер Генпрокурора (заместителей) или суда на рейд (AR) либо оцепление с обыском (AC) с указанием точного адреса помещения.</w:t>
            </w:r>
          </w:p>
        </w:tc>
      </w:tr>
      <w:tr>
        <w:tc>
          <w:tcPr>
            <w:tcW w:type="dxa" w:w="2592"/>
          </w:tcPr>
          <w:p>
            <w:pPr>
              <w:spacing w:before="40" w:after="40"/>
            </w:pPr>
            <w:r>
              <w:rPr>
                <w:rFonts w:ascii="Times New Roman" w:hAnsi="Times New Roman"/>
                <w:sz w:val="19"/>
              </w:rPr>
              <w:t>ПК штата San-Andreas, статья 19 ч. 6</w:t>
            </w:r>
          </w:p>
        </w:tc>
        <w:tc>
          <w:tcPr>
            <w:tcW w:type="dxa" w:w="3168"/>
          </w:tcPr>
          <w:p>
            <w:pPr>
              <w:spacing w:before="40" w:after="40"/>
            </w:pPr>
            <w:r>
              <w:rPr>
                <w:rFonts w:ascii="Times New Roman" w:hAnsi="Times New Roman"/>
                <w:sz w:val="19"/>
              </w:rPr>
              <w:t>Исключена «пустая» бланкетная ссылка на закон о неприкосновенности.</w:t>
            </w:r>
          </w:p>
        </w:tc>
        <w:tc>
          <w:tcPr>
            <w:tcW w:type="dxa" w:w="4032"/>
          </w:tcPr>
          <w:p>
            <w:pPr>
              <w:spacing w:before="40" w:after="40"/>
            </w:pPr>
            <w:r>
              <w:rPr>
                <w:rFonts w:ascii="Times New Roman" w:hAnsi="Times New Roman"/>
                <w:sz w:val="19"/>
              </w:rPr>
              <w:t>Все 3 основания задержания неприкосновенного, ордера SI/RI/AS и предельный срок ожидания 1 час выписаны непосредственно в тексте части 6 ст. 19 ПК.</w:t>
            </w:r>
          </w:p>
        </w:tc>
      </w:tr>
    </w:tbl>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