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Пояснительная записка к резервному пакету законопроектов (поправки к проектам законов 152, 153, 174)</w:t>
      </w:r>
    </w:p>
    <w:p>
      <w:r>
        <w:t>Настоящий документ содержит пояснения к поправкам в нормативные правовые акты, находящиеся на рассмотрении Сената. Поправки будут внесены на голосование синхронно с принятием основных текстов указанных законов.</w:t>
      </w:r>
    </w:p>
    <w:p>
      <w:r>
        <w:rPr>
          <w:b/>
        </w:rPr>
        <w:t>Новая статья 17.1 Конституционного закона о Сенате (153.txt) — постоянная защита сенаторов</w:t>
      </w:r>
    </w:p>
    <w:p>
      <w:r>
        <w:t>Было → стало: в действующей редакции проекта КЗ о Сенате сенаторы обладают защитой только во время заседания (ст. 17). Вводится постоянная правовая защита сенатора и Спикера на весь срок полномочий: задержать, обыскать или доставить приводом можно только по 4 законным основаниям ст. 19 ч. 4 ПК. Руководство для вызова — Спикер Сената (для Спикера — Губернатор/Вице-губернатор). Принадлежность к Сенату проверяется по удостоверению либо официальным сведениям в «Едином реестре штата Сан-Андреас».</w:t>
      </w:r>
    </w:p>
    <w:p>
      <w:r>
        <w:t>Почему: сенаторы от политических партий вне заседаний являются гражданскими лицами без какой-либо защиты; сенаторы от ведомств защищены только «при исполнении». Норма устраняет данный пробел.</w:t>
      </w:r>
    </w:p>
    <w:p>
      <w:r>
        <w:t>Пример: сенатора от партии останавливают на трассе. Беспричинный обыск автомобиля запрещён. Если же тот же сенатор застигнут при стрельбе по гражданам — он задерживается на месте по п. «б» ч. 4 ст. 19 ПК с вызовом Спикера Сената и ОГП.</w:t>
      </w:r>
    </w:p>
    <w:p>
      <w:r>
        <w:rPr>
          <w:b/>
        </w:rPr>
        <w:t>Статьи 19, 37 и 40 Конституционного закона об ОГП (174.txt) — ордера и правовая защита</w:t>
      </w:r>
    </w:p>
    <w:p>
      <w:r>
        <w:t>Было → стало: старшим прокурорам добавлено право авторизовывать ордер DT (привод на допрос); исправлен синтаксический обрыв фразы в ст. 40 ч. 5 («...случае выявленного ими правонарушения»); гарантии защиты сотрудников приведены к единой формуле статьи 19 ч. 4 ПК.</w:t>
      </w:r>
    </w:p>
    <w:p>
      <w:r>
        <w:t>Почему: привод на допрос при повторной неявке — типовое действие прокурорского надзора, которое не должно требовать личной подписи Генерального прокурора; текст ст. 40 ч. 5 в оригинале был грамматически не завершён.</w:t>
      </w:r>
    </w:p>
    <w:p>
      <w:r>
        <w:t>Пример: свидетель игнорирует вызовы на допрос по уголовному делу. Старший прокурор выписывает ордер DT, который передаётся агентам FIB для осуществления принудительного привода.</w:t>
      </w:r>
    </w:p>
    <w:p>
      <w:r>
        <w:rPr>
          <w:b/>
        </w:rPr>
        <w:t>Статья 23 Конституционного закона «О Правительстве» (152.txt) — гармонизация статуса USSS и SANG</w:t>
      </w:r>
    </w:p>
    <w:p>
      <w:r>
        <w:t>Было → стало: формулировка приведена в соответствие со статьями 35 и 37 Конституции штата San-Andreas и статьёй 15 ПК: USSS чётко определена как специализированная служба государственной охраны и безопасности, а SANG — как вооружённые силы территориальной обороны.</w:t>
      </w:r>
    </w:p>
    <w:p>
      <w:r>
        <w:t>Почему: устраняется неопределённость в отношении полномочий USSS (у них нет полномочий органов дознания полного цикла, ведения общеуголовных дел и содержания в КПЗ).</w:t>
      </w:r>
    </w:p>
    <w:p>
      <w:r>
        <w:t>Пример: разграничение зон ответственности при охране правительственных мероприятий: USSS обеспечивает персональную охрану, SANG — внешнее оцепление и контртеррористический периметр.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