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 xml:space="preserve">. ОГП участвует в задержании и проводит процессуальные действия в пределах надзорных полномочий, установленных </w:t>
      </w:r>
      <w:r>
        <w:rPr>
          <w:b w:val="0"/>
          <w:i w:val="0"/>
          <w:color w:val="1F3A93"/>
          <w:u w:val="single"/>
        </w:rPr>
        <w:t>статьями 40–41</w:t>
      </w:r>
      <w:r>
        <w:rPr>
          <w:b w:val="0"/>
          <w:i w:val="0"/>
          <w:u w:val="none"/>
        </w:rPr>
        <w:t xml:space="preserve"> Конституции штата San-Andreas и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40–41» → ст. 40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40. Юридическая реабилитация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Граждане имеют право на юридическую реабилитацию, обратившись в судебные или другие уполномоченные инстанции.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Губернатор устанавливает перечень лиц, уполномоченных на проведение юридических реабилитаций.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Стоимость юридической реабилитации составляет: 125.000$ (сто двадцать пять тысяч 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25.000$ от суммы юридической реабилитации направляется на финансирование работы сотрудника, который снимает судимость.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100.000$ от суммы судебной пошлины за юридическую реабилитацию направляется в казну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40–41» → ст. 41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41. Лица, имеющие право заявить ходатайство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Подозреваемый, обвиняемый, его защитник, потерпевший, его законный представитель и представитель, частный обвинитель, эксперт, гражданский истец, гражданский ответчик, их представители, представитель администрации организации и иное лицо, права и законные интересы которых затронуты в ходе досудебного или судебного производства, вправе заявить ходатайство о производстве процессуальных действий или принятии процессуальных решений для установления обстоятельств, имеющих значение для дела, обеспечения прав и законных интересов лица, заявившего ходатайство, либо представляемых им лица или организации.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Ходатайство заявляется в орган-(ы), осуществляющий следствие, либо в суд.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Правом заявлять ходатайство в ходе судебного разбирательства обладает также государственный обвинитель.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статьями 40–41 Конституции штата San-Andreas и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КПЗ — </w:t>
      </w:r>
      <w:r>
        <w:rPr>
          <w:b w:val="0"/>
          <w:i w:val="0"/>
          <w:sz w:val="20"/>
          <w:u w:val="none"/>
        </w:rPr>
        <w:t>место содержания под стражей; упоминается в ПК (145.txt), ст. 25 ч. 1 п. «д» и ст. 27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27. Порядок ареста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отношении лица, совершившего правонарушение на территории охраняемых объектов WN в соответствии со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 xml:space="preserve">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(правила Миранды) и реализации прав задержанного,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 xml:space="preserve">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</w:t>
      </w:r>
      <w:r>
        <w:rPr>
          <w:b w:val="0"/>
          <w:i w:val="0"/>
          <w:color w:val="1F3A93"/>
          <w:u w:val="single"/>
        </w:rPr>
        <w:t>статьями 25 и 27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подозреваемого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</w:t>
      </w:r>
      <w:r>
        <w:rPr>
          <w:b w:val="0"/>
          <w:i w:val="0"/>
          <w:color w:val="1F3A93"/>
          <w:u w:val="single"/>
        </w:rPr>
        <w:t>статей 25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