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004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легализуется ношение и хранение наручников сотрудниками Weazel News при исполнении обязанностей (статья 12.8.1);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Уголовный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Департамента Полиции города Лос-Сантос, Департамента Шерифа округа Блэйн и Секретной Службы, Федеральное Расследовательское Бюро, а также 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LSCSD, FIB, сотрудниками USSS — при задержании на основании ордера или судебного акта, а также 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намеренные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 которые направлены правонарушителем на уклонение от реального уголовного срока или другой уголовной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статье 17.6 настоящего Кодекса и дополнительной квалификации по настоящей статье не требует.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Уклонение от отбывания назначенного наказания квалифицируется по статье 16.15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ограничения свободы или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от 10 до 19 суток ограничения свободы в КПЗ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назначенного наказания в виде лишения свободы, а равно побег из места содержания под стражей или из-под конвоя после назначения наказания.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12.8.1 ★★★★ [Федеральная/Региональная] Использование, ношение, хранение гражданскими лицами спец. средств и оружия государственного образца, включая медицинское оборудование.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 или штраф в размере от $70000 до $100000.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12.8.1 ★★★★ [Федеральная/Региональная] Использование, ношение, хранение гражданскими лицами спец. средств и оружия государственного образца, включая медицинское оборудование.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 или штраф в размере от $70000 до $100000.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Действие настоящей статьи в части хранения, ношения и использования наручников не распространяется на уполномоченных сотрудников Weazel News при исполнении служебных обязанностей по охране офиса, обеспечению безопасности и осуществлению задержания правонарушителей в соответствии с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Публичные призывы к осуществлению террористической деятельности, публичное оправдание терроризма или пропаганда терроризма,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Содействие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террористической деятельности,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акта, а равно публичные призывы к осуществлению террористической деятельности, публичное оправдание терроризма или пропаганда терроризма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Административный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Sheriff Department, судебными органами и Офисом Генерального прокурора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соответствии с Конституционным законом «О СЕНАТЕ ШТАТА SAN-ANDREAS».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 FIB, судебными органами и ОГП,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Сената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части 1 настоящей статьи, в порядке, установленном Процессуальным кодексом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