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ПОЯСНИТЕЛЬНАЯ ЗАПИСКА</w:t>
      </w:r>
    </w:p>
    <w:p>
      <w:r>
        <w:t>к</w:t>
      </w:r>
    </w:p>
    <w:p>
      <w:r>
        <w:t xml:space="preserve"> </w:t>
      </w:r>
    </w:p>
    <w:p>
      <w:r>
        <w:t>п</w:t>
      </w:r>
    </w:p>
    <w:p>
      <w:r>
        <w:t>р</w:t>
      </w:r>
    </w:p>
    <w:p>
      <w:r>
        <w:t>о</w:t>
      </w:r>
    </w:p>
    <w:p>
      <w:r>
        <w:t>е</w:t>
      </w:r>
    </w:p>
    <w:p>
      <w:r>
        <w:t>к</w:t>
      </w:r>
    </w:p>
    <w:p>
      <w:r>
        <w:t>т</w:t>
      </w:r>
    </w:p>
    <w:p>
      <w:r>
        <w:t>у</w:t>
      </w:r>
    </w:p>
    <w:p>
      <w:r>
        <w:t xml:space="preserve"> </w:t>
      </w:r>
    </w:p>
    <w:p>
      <w:r>
        <w:t>и</w:t>
      </w:r>
    </w:p>
    <w:p>
      <w:r>
        <w:t>з</w:t>
      </w:r>
    </w:p>
    <w:p>
      <w:r>
        <w:t>м</w:t>
      </w:r>
    </w:p>
    <w:p>
      <w:r>
        <w:t>е</w:t>
      </w:r>
    </w:p>
    <w:p>
      <w:r>
        <w:t>н</w:t>
      </w:r>
    </w:p>
    <w:p>
      <w:r>
        <w:t>е</w:t>
      </w:r>
    </w:p>
    <w:p>
      <w:r>
        <w:t>н</w:t>
      </w:r>
    </w:p>
    <w:p>
      <w:r>
        <w:t>и</w:t>
      </w:r>
    </w:p>
    <w:p>
      <w:r>
        <w:t>й</w:t>
      </w:r>
    </w:p>
    <w:p>
      <w:r>
        <w:t xml:space="preserve"> </w:t>
      </w:r>
    </w:p>
    <w:p>
      <w:r>
        <w:t>в</w:t>
      </w:r>
    </w:p>
    <w:p>
      <w:r>
        <w:t>о</w:t>
      </w:r>
    </w:p>
    <w:p>
      <w:r>
        <w:t xml:space="preserve"> </w:t>
      </w:r>
    </w:p>
    <w:p>
      <w:r>
        <w:t>в</w:t>
      </w:r>
    </w:p>
    <w:p>
      <w:r>
        <w:t>н</w:t>
      </w:r>
    </w:p>
    <w:p>
      <w:r>
        <w:t>у</w:t>
      </w:r>
    </w:p>
    <w:p>
      <w:r>
        <w:t>т</w:t>
      </w:r>
    </w:p>
    <w:p>
      <w:r>
        <w:t>р</w:t>
      </w:r>
    </w:p>
    <w:p>
      <w:r>
        <w:t>е</w:t>
      </w:r>
    </w:p>
    <w:p>
      <w:r>
        <w:t>н</w:t>
      </w:r>
    </w:p>
    <w:p>
      <w:r>
        <w:t>н</w:t>
      </w:r>
    </w:p>
    <w:p>
      <w:r>
        <w:t>и</w:t>
      </w:r>
    </w:p>
    <w:p>
      <w:r>
        <w:t>й</w:t>
      </w:r>
    </w:p>
    <w:p>
      <w:r>
        <w:t xml:space="preserve"> </w:t>
      </w:r>
    </w:p>
    <w:p>
      <w:r>
        <w:t>У</w:t>
      </w:r>
    </w:p>
    <w:p>
      <w:r>
        <w:t>с</w:t>
      </w:r>
    </w:p>
    <w:p>
      <w:r>
        <w:t>т</w:t>
      </w:r>
    </w:p>
    <w:p>
      <w:r>
        <w:t>а</w:t>
      </w:r>
    </w:p>
    <w:p>
      <w:r>
        <w:t>в</w:t>
      </w:r>
    </w:p>
    <w:p>
      <w:r>
        <w:t xml:space="preserve"> </w:t>
      </w:r>
    </w:p>
    <w:p>
      <w:r>
        <w:t>S</w:t>
      </w:r>
    </w:p>
    <w:p>
      <w:r>
        <w:t>a</w:t>
      </w:r>
    </w:p>
    <w:p>
      <w:r>
        <w:t>n</w:t>
      </w:r>
    </w:p>
    <w:p>
      <w:r>
        <w:t>-</w:t>
      </w:r>
    </w:p>
    <w:p>
      <w:r>
        <w:t>A</w:t>
      </w:r>
    </w:p>
    <w:p>
      <w:r>
        <w:t>n</w:t>
      </w:r>
    </w:p>
    <w:p>
      <w:r>
        <w:t>d</w:t>
      </w:r>
    </w:p>
    <w:p>
      <w:r>
        <w:t>r</w:t>
      </w:r>
    </w:p>
    <w:p>
      <w:r>
        <w:t>e</w:t>
      </w:r>
    </w:p>
    <w:p>
      <w:r>
        <w:t>a</w:t>
      </w:r>
    </w:p>
    <w:p>
      <w:r>
        <w:t>s</w:t>
      </w:r>
    </w:p>
    <w:p>
      <w:r>
        <w:t xml:space="preserve"> </w:t>
      </w:r>
    </w:p>
    <w:p>
      <w:r>
        <w:t>N</w:t>
      </w:r>
    </w:p>
    <w:p>
      <w:r>
        <w:t>a</w:t>
      </w:r>
    </w:p>
    <w:p>
      <w:r>
        <w:t>t</w:t>
      </w:r>
    </w:p>
    <w:p>
      <w:r>
        <w:t>i</w:t>
      </w:r>
    </w:p>
    <w:p>
      <w:r>
        <w:t>o</w:t>
      </w:r>
    </w:p>
    <w:p>
      <w:r>
        <w:t>n</w:t>
      </w:r>
    </w:p>
    <w:p>
      <w:r>
        <w:t>a</w:t>
      </w:r>
    </w:p>
    <w:p>
      <w:r>
        <w:t>l</w:t>
      </w:r>
    </w:p>
    <w:p>
      <w:r>
        <w:t xml:space="preserve"> </w:t>
      </w:r>
    </w:p>
    <w:p>
      <w:r>
        <w:t>G</w:t>
      </w:r>
    </w:p>
    <w:p>
      <w:r>
        <w:t>u</w:t>
      </w:r>
    </w:p>
    <w:p>
      <w:r>
        <w:t>a</w:t>
      </w:r>
    </w:p>
    <w:p>
      <w:r>
        <w:t>r</w:t>
      </w:r>
    </w:p>
    <w:p>
      <w:r>
        <w:t>d</w:t>
      </w:r>
    </w:p>
    <w:p>
      <w:r>
        <w:t xml:space="preserve"> </w:t>
      </w:r>
    </w:p>
    <w:p>
      <w:r>
        <w:t>(</w:t>
      </w:r>
    </w:p>
    <w:p>
      <w:r>
        <w:t>S</w:t>
      </w:r>
    </w:p>
    <w:p>
      <w:r>
        <w:t>A</w:t>
      </w:r>
    </w:p>
    <w:p>
      <w:r>
        <w:t>N</w:t>
      </w:r>
    </w:p>
    <w:p>
      <w:r>
        <w:t>G</w:t>
      </w:r>
    </w:p>
    <w:p>
      <w:r>
        <w:t>)</w:t>
      </w:r>
    </w:p>
    <w:p>
      <w:r>
        <w:rPr>
          <w:b/>
        </w:rPr>
        <w:t>Глава I — Порядок утверждения устава, основания увольнения и обыски</w:t>
      </w:r>
    </w:p>
    <w:p>
      <w:r>
        <w:t>Было → стало: ранее в уставе стояла подпись Вице-Губернатора, а в п. 1.2 право вносить изменения единолично приписывалось Генералу. Теперь устав приведён в соответствие со ст. 41 ч. 1 Конституции штата San-Andreas: уставы государственных органов в обязательном порядке утверждаются Генеральным прокурором штата San-Andreas либо его заместителем.</w:t>
      </w:r>
    </w:p>
    <w:p>
      <w:r>
        <w:t>Почему: Конституция штата обладает высшей юридической силой. Устав силового ведомства, затрагивающий права граждан и порядок применения силы, не может действовать без санкции органа прокурорского надзора.</w:t>
      </w:r>
    </w:p>
    <w:p>
      <w:r>
        <w:t>Пример: Генерал вносит изменения в устав — проект направляется в ОГП. До утверждения Генеральным прокурором новые нормы не имеют юридической силы.</w:t>
      </w:r>
    </w:p>
    <w:p>
      <w:r>
        <w:rPr>
          <w:b/>
        </w:rPr>
        <w:t>Главы II и III — Задержание, первичный обыск и хранение видеозаписи 72 часа</w:t>
      </w:r>
    </w:p>
    <w:p>
      <w:r>
        <w:t>Было → стало: устав требовал хранить видеозаписи 48 часов — это было прямой коллизией с законом «О Национальной Гвардии» (ст. 10 ч. 5) и Процессуальным кодексом (ст. 32), где установлен срок 72 часа. Исправлено на 72 часа. Порядок задержания согласован со статьёй 17.3 ПК: военнослужащий надевает наручники, проводит первичный (личный) обыск без изъятия оружия, доставляет задержанного в ближайший участок LSPD/LSCSD/FIB (до 15 мин, с Кайо-Перико/авианосца — 30 мин) и передаёт видеозапись. Военнослужащие SANG права не читают и оружие не изымают.</w:t>
      </w:r>
    </w:p>
    <w:p>
      <w:r>
        <w:t>Почему: если гражданина задерживает армия, на месте спорили, кто оформляет и почему запись удалили через 48 часов. Теперь в уставе точная отсылка к закону — срок 72 часа и схема передачи без изъятия оружия.</w:t>
      </w:r>
    </w:p>
    <w:p>
      <w:r>
        <w:t>Пример: патруль SANG в округе Блэйн задержал нарушителя. Бойцы надевают наручники, обыскивают на наличие оружия (но не забирают), везут в участок шерифа в Палето-Бэй. Шериф принимает задержанного, читает права и изымает пистолет при аресте перед камерой КПЗ.</w:t>
      </w:r>
    </w:p>
    <w:p>
      <w:r>
        <w:rPr>
          <w:b/>
        </w:rPr>
        <w:t>Глава VIII — Полная отмена поборов за выговоры и ограничение Чёрного списка</w:t>
      </w:r>
    </w:p>
    <w:p>
      <w:r>
        <w:t>Было → стало: в действующем уставе содержалась норма о «погашении» выговоров передачей бинтов на склад на сумму 0,000 (устный) и 0,000 (строгий). Это грубейшая коррупционная норма, противоречащая Уголовному и Трудовому кодексам. Норма полностью исключена. Отработка производится исключительно службой: дежурствами, патрулями, хозяйственными нарядами. Бессрочный ЧС исключён: срок ЧС определяется Трудовым кодексом, пожизненный ЧС — только по приговору суда.</w:t>
      </w:r>
    </w:p>
    <w:p>
      <w:r>
        <w:t>Почему: государственная военная организация не имеет права продавать снятие дисциплинарных наказаний за материальные ценности.</w:t>
      </w:r>
    </w:p>
    <w:p>
      <w:r>
        <w:t>Пример: рядовой получил выговор за нарушение субординации. Вместо закупки бинтов на 0,000 он назначается на 2 часа дополнительного дежурства на КПП-1 под контролем MP.</w:t>
      </w:r>
    </w:p>
    <w:p>
      <w:r>
        <w:rPr>
          <w:b/>
        </w:rPr>
        <w:t>Главы XIV и XV — Устранение опечаток в званиях и дублирования отделов (DF и AF)</w:t>
      </w:r>
    </w:p>
    <w:p>
      <w:r>
        <w:t>Было → стало: в главе XIV устранены опечатки («General Brigadier», разорванные строки). В главе XV устранено дублирование номера 15.3.7 (в оригинале дважды присутствовал пункт 15.3.7 — для DF и AF с одинаковым текстом задач). Сделана правильная сквозная нумерация 15.3.1 – 15.3.11, где Alpha Force [AF] получил свой реальный статус взвода тяжелого стрелкового вооружения и огневой поддержки.</w:t>
      </w:r>
    </w:p>
    <w:p>
      <w:r>
        <w:t>Почему: путаница в номерах отделов создавала коллизии при кадровых переводах и радиосвязи.</w:t>
      </w:r>
    </w:p>
    <w:p>
      <w:r>
        <w:t>Пример: боец переводится в Alpha Force. В рапортах и радиоэфире используется чёткий позывной AF и волна 100.309, а задачи взвода чётко разграничены со спецназом Delta Force (100.307).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