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012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Исключение автоматической ответственности без установления состава нарушения в предпринимательской и охотничьей деятельности.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«О предпринимательской деятельности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несвоевременной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начисляется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$50,000.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начисляется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$150,000.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отзыв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финансово-хозяйственной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приобретена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вновь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разморожена,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оплатив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неустойки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50%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стартового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капитала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регистрации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суммы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Систематическая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малым,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средним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предприятием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организацией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приравнивается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уклонению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налогов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предусмотренную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действующим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законодательством.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приобретения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аффинированными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бизнесов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уклонения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300%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сумме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утаенных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активов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бизнес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конфискован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аукционе.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занятых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недостоверные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реестре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занятых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уменьшения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налогообложения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$150,000,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взысканием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недоимки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напрямую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владелец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регистрационном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напрямую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предпринимателем.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влекут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2-х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календарных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недель).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реестра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основных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принципов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трудовой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этики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(организации)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назначению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штрафа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размеров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увольнению.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Владелец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обложена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санкцией,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оплатить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Казначейство.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несвоевременной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начисляется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$50,000.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начисляется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$150,000.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отзыв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финансово-хозяйственной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приобретена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вновь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разморожена,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оплатив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неустойки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50%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стартового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капитала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регистрации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суммы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Повторная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неуплата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виновности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уклонении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налогов.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физического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11.3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взыскание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недоимки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приобретения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аффинированными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бизнесов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уклонения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300%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сумме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утаенных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активов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бизнес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конфискован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аукционе.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занятых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недостоверные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реестре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занятых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уменьшения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налогообложения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сокрытия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$150,000,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взысканием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недоимки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напрямую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владелец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регистрационном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напрямую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предпринимателем.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влекут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2-х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календарных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недель).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реестра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100.000$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работником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трудовых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влечет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Трудовым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устанавливает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неопределенное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«основных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принципов»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работодателю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рассматриваются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Владелец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обложена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санкцией,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оплатить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Казначейство.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10.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подлежат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надлежащий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субъект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условия.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может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повторно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наказываться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несколькими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один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расчет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суммы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обжалования.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гарантии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Неустойка,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недоимка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восстановление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виновности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преступлении.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Закон "Об охоте и рыбалке на территории штата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имеющейся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лицензией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«HUNTING»,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привлекается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уголовной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ресурсов,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аннулированием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«HUNTING».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HUNTING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24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восстановления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Обнаружение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охотничьего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владения,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добычи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предметов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аннулирование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производятся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вследствие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обнаружения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«HUNTING»,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имеющейся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лицензией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также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наличии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ресурсов,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привлекается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ресурсов,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аннулированием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лицензии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HUNTING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HUNTING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влечет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7.1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добычи.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освобождает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доказывания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прямо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18.1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исчезающих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HUNTING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аннулировать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правил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устанавливаются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рассматриваются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карты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лицензий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«HUNTING»,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наличие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ресурсов,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такое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привлекается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ресурсов,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аннулированием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лицензии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«HUNTING».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карты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карты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возобновления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карту.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охотничьих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ресурсов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карты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добычи,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влечет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добычи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аннулирования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лицензии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HUNTING.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устанавливает.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012. Основания имущественных и лицензионных санкций</dc:title>
  <dc:subject>Исключение автоматической ответственности без установления состава нарушения в предпринимательской и охотничьей деятельности.</dc:subject>
  <dc:creator/>
</cp:coreProperties>
</file>