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Пакет законопроектов — обзор и порядок рассмотрения</w:t>
      </w:r>
    </w:p>
    <w:p>
      <w:r>
        <w:t>27 сентября 2026 года • Только материалы папки «Законы»</w:t>
      </w:r>
    </w:p>
    <w:p>
      <w:r>
        <w:t>Подготовлено 14 законопроектов в отдельных .docx и 14 отдельных пояснений. Один новый закон и 13 проектов поправок; 58 сравнительных единиц в 20 исходных нормативных документах. Исходные файлы сохранены без изменения.</w:t>
      </w:r>
    </w:p>
    <w:p>
      <w:pPr>
        <w:pStyle w:val="Heading1"/>
      </w:pPr>
      <w:r>
        <w:t>Как пользоваться пакетом</w:t>
      </w:r>
    </w:p>
    <w:p>
      <w:r>
        <w:t>«Законопроекты» содержит только готовые проекты ACT. «Пояснения» содержит объяснение каждого проекта и данный обзор. «Анализ» хранит индекс источников, их контрольные суммы, карту всех пар, журнал решений и воспроизводимые сценарии подготовки. Аналитические материалы не подаются как нормативная часть закона.</w:t>
      </w:r>
    </w:p>
    <w:p>
      <w:r>
        <w:t>Рабочие номера 001–014 не означают, что номера присвоены Сенатом. Дата подготовки не означает дату вступления закона в силу. Формы, шрифты заголовков, поля и сравнительные таблицы взяты из приложений; каждый сравнительный блок имеет две колонки и две строки, текст статей дан целиком. Нормативные примеры внутри шаблонов не приняты за действующий закон.</w:t>
      </w:r>
    </w:p>
    <w:p>
      <w:pPr>
        <w:pStyle w:val="Heading2"/>
      </w:pPr>
      <w:r>
        <w:t>ACT. 001 — Иерархия и единые наименования</w:t>
      </w:r>
    </w:p>
    <w:p>
      <w:r>
        <w:t>Принятие закона «О нормативных правовых актах и единых наименованиях государственных органов штата San-Andreas».</w:t>
      </w:r>
    </w:p>
    <w:p>
      <w:pPr>
        <w:pStyle w:val="Heading2"/>
      </w:pPr>
      <w:r>
        <w:t>ACT. 002 — Приоритет актов и законодательная инициатива</w:t>
      </w:r>
    </w:p>
    <w:p>
      <w:r>
        <w:t>Устранение безусловного приоритета отраслевых кодексов над актами большей юридической силы и согласование права законодательной инициативы.</w:t>
      </w:r>
    </w:p>
    <w:p>
      <w:r>
        <w:t>Рекомендуется совместное рассмотрение с ACT. 001.</w:t>
      </w:r>
    </w:p>
    <w:p>
      <w:pPr>
        <w:pStyle w:val="Heading2"/>
      </w:pPr>
      <w:r>
        <w:t>ACT. 003 — Государственная тайна — основания и учет</w:t>
      </w:r>
    </w:p>
    <w:p>
      <w:r>
        <w:t>Уточнение понятий государственной тайны, оснований засекречивания, допуска и межведомственной передачи сведений.</w:t>
      </w:r>
    </w:p>
    <w:p>
      <w:r>
        <w:t>Вводить одновременно с ACT. 004: в статье 3 используется специальный порядок статьи 5.</w:t>
      </w:r>
    </w:p>
    <w:p>
      <w:pPr>
        <w:pStyle w:val="Heading2"/>
      </w:pPr>
      <w:r>
        <w:t>ACT. 004 — Доступ защитника к секретным материалам</w:t>
      </w:r>
    </w:p>
    <w:p>
      <w:r>
        <w:t>Дополнение закона о государственной тайне статьей 5 и согласование доступа к доказательствам с Процессуальным кодексом, законом об адвокатуре и открытостью закупок.</w:t>
      </w:r>
    </w:p>
    <w:p>
      <w:r>
        <w:t>ACT. 003 и ACT. 004 составляют единый пакет и подлежат одновременному введению; режим камер SANG дополнительно согласован ACT. 010.</w:t>
      </w:r>
    </w:p>
    <w:p>
      <w:pPr>
        <w:pStyle w:val="Heading2"/>
      </w:pPr>
      <w:r>
        <w:t>ACT. 005 — Гарантии задержания и отсутствие административного ареста</w:t>
      </w:r>
    </w:p>
    <w:p>
      <w:r>
        <w:t>Согласование вызова адвоката, оснований освобождения и административной процедуры с действующими видами наказаний.</w:t>
      </w:r>
    </w:p>
    <w:p>
      <w:r>
        <w:t>Рассматривать с ACT. 004 и ACT. 007.</w:t>
      </w:r>
    </w:p>
    <w:p>
      <w:pPr>
        <w:pStyle w:val="Heading2"/>
      </w:pPr>
      <w:r>
        <w:t>ACT. 006 — Разграничение полномочий ведомств</w:t>
      </w:r>
    </w:p>
    <w:p>
      <w:r>
        <w:t>Разграничение координации, сбора материалов, задержания и назначения наказаний; устранение неограниченной передачи компетенции USSS и внутренних противоречий полномочий SANG.</w:t>
      </w:r>
    </w:p>
    <w:p>
      <w:r>
        <w:t>Положения об иерархии согласованы с ACT. 001 и ACT. 002; особые режимы — с ACT. 009.</w:t>
      </w:r>
    </w:p>
    <w:p>
      <w:pPr>
        <w:pStyle w:val="Heading2"/>
      </w:pPr>
      <w:r>
        <w:t>ACT. 007 — Судимость, административная компетенция и ордера</w:t>
      </w:r>
    </w:p>
    <w:p>
      <w:r>
        <w:t>Устранение противоречий о возникновении судимости, составе административного законодательства, неприкосновенности и ссылке на недопустимые доказательства.</w:t>
      </w:r>
    </w:p>
    <w:p>
      <w:r>
        <w:t>Согласовать вступление с ACT. 005, ACT. 006 и ACT. 012.</w:t>
      </w:r>
    </w:p>
    <w:p>
      <w:pPr>
        <w:pStyle w:val="Heading2"/>
      </w:pPr>
      <w:r>
        <w:t>ACT. 008 — Охрана поставок и пределы ответственности</w:t>
      </w:r>
    </w:p>
    <w:p>
      <w:r>
        <w:t>Согласование специальной охраны поставок с основаниями уголовной ответственности и безопасным применением оружия. Запрет вмешательства в поставку сохраняется.</w:t>
      </w:r>
    </w:p>
    <w:p>
      <w:pPr>
        <w:pStyle w:val="Heading2"/>
      </w:pPr>
      <w:r>
        <w:t>ACT. 009 — Чрезвычайное и военное положение</w:t>
      </w:r>
    </w:p>
    <w:p>
      <w:r>
        <w:t>Согласование полномочий по введению особых режимов, командования, медицинской помощи и пределов принуждения.</w:t>
      </w:r>
    </w:p>
    <w:p>
      <w:r>
        <w:t>Статья 6 закона о системе ордеров изменяется только настоящим ACT; ACT. 007 изменяет статью 8 того же закона.</w:t>
      </w:r>
    </w:p>
    <w:p>
      <w:pPr>
        <w:pStyle w:val="Heading2"/>
      </w:pPr>
      <w:r>
        <w:t>ACT. 010 — Доступ на территории и материалы SANG</w:t>
      </w:r>
    </w:p>
    <w:p>
      <w:r>
        <w:t>Разграничение прилегающей и закрытой территории, законных целей посещения, служебной съемки и оснований применения силы.</w:t>
      </w:r>
    </w:p>
    <w:p>
      <w:r>
        <w:t>Порядок секретности применяется совместно с ACT. 003 и ACT. 004; полномочия SANG — с ACT. 006.</w:t>
      </w:r>
    </w:p>
    <w:p>
      <w:pPr>
        <w:pStyle w:val="Heading2"/>
      </w:pPr>
      <w:r>
        <w:t>ACT. 011 — Техническое согласование Дорожного кодекса</w:t>
      </w:r>
    </w:p>
    <w:p>
      <w:r>
        <w:t>Устранение двойной нумерации статьи 11 и согласование момента оплаты дорожного штрафа с сопровождением к банкомату.</w:t>
      </w:r>
    </w:p>
    <w:p>
      <w:pPr>
        <w:pStyle w:val="Heading2"/>
      </w:pPr>
      <w:r>
        <w:t>ACT. 012 — Основания имущественных и лицензионных санкций</w:t>
      </w:r>
    </w:p>
    <w:p>
      <w:r>
        <w:t>Исключение автоматической ответственности без установления состава нарушения в предпринимательской и охотничьей деятельности.</w:t>
      </w:r>
    </w:p>
    <w:p>
      <w:r>
        <w:t>Штрафы статьи 9 закона о предпринимательстве применяются с учетом ACT. 007.</w:t>
      </w:r>
    </w:p>
    <w:p>
      <w:pPr>
        <w:pStyle w:val="Heading2"/>
      </w:pPr>
      <w:r>
        <w:t>ACT. 013 — Сроки уведомления о публичных мероприятиях</w:t>
      </w:r>
    </w:p>
    <w:p>
      <w:r>
        <w:t>Исправление невозможного интервала подачи уведомления и согласование сроков ответа организатора.</w:t>
      </w:r>
    </w:p>
    <w:p>
      <w:pPr>
        <w:pStyle w:val="Heading2"/>
      </w:pPr>
      <w:r>
        <w:t>ACT. 014 — Единая ответственность за незаконное получение государственной тайны</w:t>
      </w:r>
    </w:p>
    <w:p>
      <w:r>
        <w:t>Устранение дублирующих уголовных составов с разными санкциями и защита законной передачи секретных сведений.</w:t>
      </w:r>
    </w:p>
    <w:p>
      <w:r>
        <w:t>Рассматривать одновременно с ACT. 003 и ACT. 004. Обратная сила смягчения определяется статьей 1.11 Уголовного кодекса.</w:t>
      </w:r>
    </w:p>
    <w:p>
      <w:pPr>
        <w:pStyle w:val="Heading1"/>
      </w:pPr>
      <w:r>
        <w:t>Порядок согласованного принятия</w:t>
      </w:r>
    </w:p>
    <w:p>
      <w:r>
        <w:t>1. Общая иерархия и согласование приоритета: 001–002. 2. Единый пакет государственной тайны и ответственности: 003, 004 и 014, одновременно; связанные правила территории и записи — 010. 3. Полномочия, задержание и ордера: 005–007, 009. 4. Поставки, дорожные нормы, лицензии, предпринимательство и мероприятия: 008, 011–013. До принятия одного из связанных проектов нельзя считать уже принятой новую норму из другого.</w:t>
      </w:r>
    </w:p>
    <w:p>
      <w:pPr>
        <w:pStyle w:val="Heading1"/>
      </w:pPr>
      <w:r>
        <w:t>Государственная тайна: вывод по Форт-Занкудо</w:t>
      </w:r>
    </w:p>
    <w:p>
      <w:r>
        <w:t>Нельзя заключить, что исходный закон вообще не действует: он дает уполномоченным лицам возможность засекречивать сведения. Но без маркировки действует исходный уровень None; сам факт закрытости территории не создает тайну. Указы о конкретных грифах не предоставлены, поэтому секретность реального эпизода по ним не установлена.</w:t>
      </w:r>
    </w:p>
    <w:p>
      <w:r>
        <w:t>Предлагаемое решение: отделить доступ на объект от доступа к сведениям; учитывать основание и срок грифа; предоставить защитнику и доверителю специальный доступ к необходимым доказательствам без общей ведомственной аккредитации; сохранить исходную запись, не редактировать ее; не продлевать задержание ради допуска. Законная выдача материалов не образует разглашения. Стажеры и журналисты не получают доступ вслед за адвокатом автоматически.</w:t>
      </w:r>
    </w:p>
    <w:p>
      <w:pPr>
        <w:pStyle w:val="Heading1"/>
      </w:pPr>
      <w:r>
        <w:t>Метод и границы анализа</w:t>
      </w:r>
    </w:p>
    <w:p>
      <w:r>
        <w:t>Проиндексированы все 30 нормативных текстов и полный файл правил проекта. Матрица содержит 435 неупорядоченных пар нормативных документов и 30 сопоставлений с правилами проекта — всего 465. Повторное А–Б и Б–А не требуется: отношение учитывается в обе стороны внутри одной пары. Для навигации построен индекс четырех осей: полномочия, санкции, обязанности и иерархия. Полные тексты сохранены в базе, конкретные правовые выводы сформулированы по взаимосвязанным тематическим узлам, а не по совпадению слов.</w:t>
      </w:r>
    </w:p>
    <w:p>
      <w:r>
        <w:t>Матрица — воспроизводимая карта пересечений, а не доказательство исчерпывающей ручной проверки каждой строки каждой пары. Автоматические маркеры не позволяют объявить все остальные нормы бесколлизионными. Подготовленный пакет устраняет перечисленные подтвержденные несогласованности; он не является утверждением, что иных проблем во всей базе нет.</w:t>
      </w:r>
    </w:p>
    <w:p>
      <w:r>
        <w:t>Конституция и конституционный закон о судебной системе как самостоятельные тексты в предоставленной базе не выявлены. Их содержание не восстановлено по внешним источникам. Иерархия ACT. 001 предлагается как новая норма с приоритетом Конституции; подтвердить соответствие ее непредоставленному тексту невозможно. Не создана вымышленная судебная система. Не добавлены отсутствующие сроки погашения судимости, карты территорий, ведомственные указы или количественные лимиты добычи.</w:t>
      </w:r>
    </w:p>
    <w:p>
      <w:pPr>
        <w:pStyle w:val="Heading1"/>
      </w:pPr>
      <w:r>
        <w:t>Обзор всех нормативных источников</w:t>
      </w:r>
    </w:p>
    <w:p>
      <w:pPr>
        <w:pStyle w:val="Heading2"/>
      </w:pPr>
      <w:r>
        <w:t>144.txt</w:t>
      </w:r>
    </w:p>
    <w:p>
      <w:r>
        <w:t>Статьи 1 и 1.2 закрепляют исключительность УК; статьи 1.9 и 5.8 расходятся по судимости (ACT. 007). Статьи 12.13 и 14.3.1 дублируют состав с разными санкциями (ACT. 014). Клевета физического лица по статье 7.4 не тождественна ответственности юридического лица по статье 11.2 АК. Статья 4, включая часть 2.2 о жилище, учитывается при оценке статей 21–24 оружейного закона: отдельная отмена этих гарантий не предложена.</w:t>
      </w:r>
    </w:p>
    <w:p>
      <w:pPr>
        <w:pStyle w:val="Heading2"/>
      </w:pPr>
      <w:r>
        <w:t>145.txt</w:t>
      </w:r>
    </w:p>
    <w:p>
      <w:r>
        <w:t>Процессуальные гарантии связывают ведомственные законы. Статья 2 не должна перекрывать Конституцию (ACT. 002). Статьи 17, 20, 22, 25 согласованы в ACT. 005; статьи 23, 99 — с тайной в ACT. 004; статьи 35–36 — с ведомствами в ACT. 006. Срок 72 часа статьи 33 не сокращается до 48 часов: более длительное хранение само по себе не противоречит минимальному сроку.</w:t>
      </w:r>
    </w:p>
    <w:p>
      <w:pPr>
        <w:pStyle w:val="Heading2"/>
      </w:pPr>
      <w:r>
        <w:t>146.txt</w:t>
      </w:r>
    </w:p>
    <w:p>
      <w:r>
        <w:t>Виды наказаний статьи 3.2 не включают арест (ACT. 005). Закрытый перечень источников и исполнителей согласован в ACT. 007. Статьи 9.1–9.3 имеют отрицательное условие о существенных последствиях, отличающее их от уголовных составов: это не повод механически отменять административную ответственность. Статьи 7.1–7.2 не содержат самостоятельного состава за одну просроченную медицинскую карту.</w:t>
      </w:r>
    </w:p>
    <w:p>
      <w:pPr>
        <w:pStyle w:val="Heading2"/>
      </w:pPr>
      <w:r>
        <w:t>147.txt</w:t>
      </w:r>
    </w:p>
    <w:p>
      <w:r>
        <w:t>Две статьи 11 и 15 секунд оплаты согласованы в ACT. 011. Контроль FIB ограничен статьей 13 закона о FIB; общей дорожной компетенции ему не добавлено. Состояния водителя, которые трудно доказывать, не удалены только по мотиву отсутствия специальной механики.</w:t>
      </w:r>
    </w:p>
    <w:p>
      <w:pPr>
        <w:pStyle w:val="Heading2"/>
      </w:pPr>
      <w:r>
        <w:t>148.txt</w:t>
      </w:r>
    </w:p>
    <w:p>
      <w:r>
        <w:t>Статьи 5 и 7 задают приоритет трудовых гарантий над уставом; оговорка о Конституции внесена ACT. 002. Статьи 18–21 и 32 учитываются при отмене автоматического увольнения за поставку и неопределенного штрафа работнику. Добровольные имущественные вклады при снятии взыскания в статье 32 требуют отдельной оценки на предмет фактического принуждения; новые платежи не предложены.</w:t>
      </w:r>
    </w:p>
    <w:p>
      <w:pPr>
        <w:pStyle w:val="Heading2"/>
      </w:pPr>
      <w:r>
        <w:t>149.txt</w:t>
      </w:r>
    </w:p>
    <w:p>
      <w:r>
        <w:t>Статьи 12 и 28.1 требуют основания для убытков и регресса; учтено в ACT. 008. Статья 17 допускает специальное регулирование предпринимательства, поэтому регистрационные положения 166.txt не признаны дубликатом гражданской нормы. Врачебная и адвокатская тайна не становятся открытыми вследствие уровня N.</w:t>
      </w:r>
    </w:p>
    <w:p>
      <w:pPr>
        <w:pStyle w:val="Heading2"/>
      </w:pPr>
      <w:r>
        <w:t>150.txt</w:t>
      </w:r>
    </w:p>
    <w:p>
      <w:r>
        <w:t>Статья 28 устанавливает специальные штрафы и круг субъектов; ее действие согласовано с общим перечнем АК в ACT. 007, без переноса штрафных полномочий на SANG. Обязанность хранить тайну согласована с законным специальным доступом, а не отменена.</w:t>
      </w:r>
    </w:p>
    <w:p>
      <w:pPr>
        <w:pStyle w:val="Heading2"/>
      </w:pPr>
      <w:r>
        <w:t>152.txt</w:t>
      </w:r>
    </w:p>
    <w:p>
      <w:r>
        <w:t>Статьи 2 и 10 подтверждают подчинение актов Губернатора Конституции и законам; статья 10 предусматривает введение особого режима Губернатором. Это опора ACT. 001 и ACT. 009, но не замена отсутствующей Конституции. Ссылка статьи 15 на статью 23 Конституции не проверена по первоисточнику.</w:t>
      </w:r>
    </w:p>
    <w:p>
      <w:pPr>
        <w:pStyle w:val="Heading2"/>
      </w:pPr>
      <w:r>
        <w:t>153.txt</w:t>
      </w:r>
    </w:p>
    <w:p>
      <w:r>
        <w:t>Исключительное право инициативы статьи 12 и общая обязанность статьи 16 согласованы ACT. 002. Кворум, порядок принятия и полномочия Спикера не реконструируются на основе реального права. Рабочие номера ACT не являются присвоенными Сенатом номерами.</w:t>
      </w:r>
    </w:p>
    <w:p>
      <w:pPr>
        <w:pStyle w:val="Heading2"/>
      </w:pPr>
      <w:r>
        <w:t>154.txt</w:t>
      </w:r>
    </w:p>
    <w:p>
      <w:r>
        <w:t>Статьи 2 и 6 расходятся по прилегающим территориям; ACT. 010. Доступ адвоката на объект не равен доступу к секретам. Визуализации перечислены, но изображения не входят в txt; координаты границ не выдуманы, режим самих закрытых частей сохранен.</w:t>
      </w:r>
    </w:p>
    <w:p>
      <w:pPr>
        <w:pStyle w:val="Heading2"/>
      </w:pPr>
      <w:r>
        <w:t>155.txt</w:t>
      </w:r>
    </w:p>
    <w:p>
      <w:r>
        <w:t>Статьи 4 и 14.1 различно описывают округ, Чумаш пересекается с юрисдикцией LSPD. ACT. 006 уточняет территорию и убирает обязательное прекращение дела по запросу USSS. Совместная компетенция на Кайо-Перико не считается ошибкой сама по себе; вводится согласование ведущего исполнителя.</w:t>
      </w:r>
    </w:p>
    <w:p>
      <w:pPr>
        <w:pStyle w:val="Heading2"/>
      </w:pPr>
      <w:r>
        <w:t>156.txt</w:t>
      </w:r>
    </w:p>
    <w:p>
      <w:r>
        <w:t>Статья 13 допускает только статьи 1–2 Дорожного кодекса в пределах задач FIB. Вложенные ссылки «Статья 1 —» и «Статья 2 —» не являются новыми статьями закона и специально исключены из границ статей при индексации. Подчиненность и территориальная федеральная компетенция учтены в ACT. 006–007.</w:t>
      </w:r>
    </w:p>
    <w:p>
      <w:pPr>
        <w:pStyle w:val="Heading2"/>
      </w:pPr>
      <w:r>
        <w:t>157.txt</w:t>
      </w:r>
    </w:p>
    <w:p>
      <w:r>
        <w:t>Широкие следственные полномочия статей 4–7 и исключительный доступ в статье 36 ПК несовместимы с ограничениями исполнения USSS; ACT. 006. Сохранены охранные задачи и специальное исполнение ордеров, а не введен общий запрет задержания.</w:t>
      </w:r>
    </w:p>
    <w:p>
      <w:pPr>
        <w:pStyle w:val="Heading2"/>
      </w:pPr>
      <w:r>
        <w:t>158.txt</w:t>
      </w:r>
    </w:p>
    <w:p>
      <w:r>
        <w:t>Статьи 2 и 5 называют разных распорядителей регламента и повторяют номер пункта; ACT. 006. Статьи 10, 12, 24 согласованы с передачей задержанных, судебным приостановлением партий и пределами особого режима. Статья 2 согласована с открытой зоной до КПП и выдачей записи (ACT. 010).</w:t>
      </w:r>
    </w:p>
    <w:p>
      <w:pPr>
        <w:pStyle w:val="Heading2"/>
      </w:pPr>
      <w:r>
        <w:t>159.txt</w:t>
      </w:r>
    </w:p>
    <w:p>
      <w:r>
        <w:t>Статьи 11, 16, 17 исключают автоматический приоритет чиновника перед экстренным гражданским пациентом: исправляется 163.txt, а не медицинские гарантии (ACT. 009). Статья 14 защищает медицинские сведения независимо от маркировки государственной тайны; новая статья 2 закона о тайне прямо сохраняет эту защиту.</w:t>
      </w:r>
    </w:p>
    <w:p>
      <w:pPr>
        <w:pStyle w:val="Heading2"/>
      </w:pPr>
      <w:r>
        <w:t>160.txt</w:t>
      </w:r>
    </w:p>
    <w:p>
      <w:r>
        <w:t>Статьи 24 и 30 расходятся между приостановлением и аннулированием HUNTING; статьи 30–32 автоматически связывают ресурсы с ответственностью (ACT. 012). Особое правило статьи 18.1 об исчезающих видах сохранено. Отсутствующие карты заповедных зон и количественные нормы не придуманы.</w:t>
      </w:r>
    </w:p>
    <w:p>
      <w:pPr>
        <w:pStyle w:val="Heading2"/>
      </w:pPr>
      <w:r>
        <w:t>161.txt</w:t>
      </w:r>
    </w:p>
    <w:p>
      <w:r>
        <w:t>Оружейные лицензии, HUNTING и медицинская карта учитываются в ACT. 012. Самооборона проверялась с учетом полной статьи 4 УК, в том числе ее жилищного исключения; реальное право вместо текста игрового закона не подставляется. Самостоятельная техническая обязанность недоступного действия не вводится.</w:t>
      </w:r>
    </w:p>
    <w:p>
      <w:pPr>
        <w:pStyle w:val="Heading2"/>
      </w:pPr>
      <w:r>
        <w:t>162.txt</w:t>
      </w:r>
    </w:p>
    <w:p>
      <w:r>
        <w:t>Статья 6 смешивает арест с RI, статья 7 не отражает исполнение законного ордера; ACT. 007. Специальный порядок статьи 7 закона об ордерах сохраняется. AI сам по себе не снимает неприкосновенность.</w:t>
      </w:r>
    </w:p>
    <w:p>
      <w:pPr>
        <w:pStyle w:val="Heading2"/>
      </w:pPr>
      <w:r>
        <w:t>163.txt</w:t>
      </w:r>
    </w:p>
    <w:p>
      <w:r>
        <w:t>Три главы воспроизведены полностью в ACT. 009. Устранены автоматическая уголовная ответственность, «любые методы», несовместимое командование и второочередность гражданских пациентов. Временное ограничение собраний прекращается с режимом; орган не ликвидирует партию.</w:t>
      </w:r>
    </w:p>
    <w:p>
      <w:pPr>
        <w:pStyle w:val="Heading2"/>
      </w:pPr>
      <w:r>
        <w:t>164.txt</w:t>
      </w:r>
    </w:p>
    <w:p>
      <w:r>
        <w:t>Исходный закон не является полностью неработающим: он допускает установление грифа указом. Но в нем нет полного порядка маркировки, срока, учета и доступа частного защитника, а обмен продублирован. ACT. 003–004 устраняют эти пробелы, ACT. 014 согласует уголовные последствия.</w:t>
      </w:r>
    </w:p>
    <w:p>
      <w:pPr>
        <w:pStyle w:val="Heading2"/>
      </w:pPr>
      <w:r>
        <w:t>165.txt</w:t>
      </w:r>
    </w:p>
    <w:p>
      <w:r>
        <w:t>Статьи 7, 31, 32 резервируют приостановление и ликвидацию партии за указанными субъектами; противоречащая возможность SANG исправлена в ACT. 009. Уведомление о партийном собрании и уведомление о публичном мероприятии имеют разные предметы и не подменяют друг друга.</w:t>
      </w:r>
    </w:p>
    <w:p>
      <w:pPr>
        <w:pStyle w:val="Heading2"/>
      </w:pPr>
      <w:r>
        <w:t>166.txt</w:t>
      </w:r>
    </w:p>
    <w:p>
      <w:r>
        <w:t>Статья 18 об открытости согласована с конкретной секретностью ACT. 004. Статья 9 согласована с общими принципами вины и трудовыми взысканиями ACT. 012, ее административные штрафы включены в источники АК ACT. 007. Регистрационные суммы 40 000, 100 000 и 200 000 не превышают указанного в правилах проекта базового предела 250 000; изменения сумм не предложены.</w:t>
      </w:r>
    </w:p>
    <w:p>
      <w:pPr>
        <w:pStyle w:val="Heading2"/>
      </w:pPr>
      <w:r>
        <w:t>167.txt</w:t>
      </w:r>
    </w:p>
    <w:p>
      <w:r>
        <w:t>Режим контртеррористической операции не тождественен чрезвычайному и военному положению. Публикация границ статьи 8 и порядок статьи 9 не заменяют требуемые ПК основания конкретных мер. Широкий перечень части 5 статьи 8 и его соотношение с террористической направленностью статьи 9 требуют отдельного уточнения; в этом пакете перечень не переписан без дополнительного обоснования.</w:t>
      </w:r>
    </w:p>
    <w:p>
      <w:pPr>
        <w:pStyle w:val="Heading2"/>
      </w:pPr>
      <w:r>
        <w:t>168.txt</w:t>
      </w:r>
    </w:p>
    <w:p>
      <w:r>
        <w:t>Статья 10 дополнена пределами ведомственной компетенции ACT. 006. Судебное разрешение на ограничение тайны сообщений в статье 8 совместимо со статьей 5 ПК. Специальные гарантии конфиденциальных источников статьи 14 сохранены в новой статье 3 закона о тайне.</w:t>
      </w:r>
    </w:p>
    <w:p>
      <w:pPr>
        <w:pStyle w:val="Heading2"/>
      </w:pPr>
      <w:r>
        <w:t>169.txt</w:t>
      </w:r>
    </w:p>
    <w:p>
      <w:r>
        <w:t>Невозможный интервал уведомления статьи 7 и трехдневный ответ статьи 5 согласованы ACT. 013. Доступ на прилегающую территорию не означает разрешения проводить там запрещенное статьей 8 публичное мероприятие. Временный запрет во время особого режима прекращается с режимом (ACT. 009).</w:t>
      </w:r>
    </w:p>
    <w:p>
      <w:pPr>
        <w:pStyle w:val="Heading2"/>
      </w:pPr>
      <w:r>
        <w:t>170.txt</w:t>
      </w:r>
    </w:p>
    <w:p>
      <w:r>
        <w:t>Статьи 4–6 создавали ответственность по внешнему закону, автоматический разбой и максимальный срок; ACT. 008. Установленная статьей 3 охрана колонны и запрет вмешательства не отменены. Государственный оборонный заказ в 166.txt описывает контракты, а 170.txt — производство и транспортировку, поэтому эти определения не признаны взаимоисключающими.</w:t>
      </w:r>
    </w:p>
    <w:p>
      <w:pPr>
        <w:pStyle w:val="Heading2"/>
      </w:pPr>
      <w:r>
        <w:t>171.txt</w:t>
      </w:r>
    </w:p>
    <w:p>
      <w:r>
        <w:t>Статьи 4, 8, 12 различают доступ журналиста и охраняемые сведения, допускают отделение открытой информации и требуют мотивировать отказ. Специальный доступ адвоката не распространяется на журналиста; новые нормы не дают права публиковать секретную запись. Общая публичность ведомств также не отменяет специальные запреты.</w:t>
      </w:r>
    </w:p>
    <w:p>
      <w:pPr>
        <w:pStyle w:val="Heading2"/>
      </w:pPr>
      <w:r>
        <w:t>172.txt</w:t>
      </w:r>
    </w:p>
    <w:p>
      <w:r>
        <w:t>Название отсутствует в шапке файла, восстановлено только по прямой ссылке 162.txt: «О системе ордеров штата San-Andreas». Статьи 5, 6, 8 исправлены ACT. 006, 009, 007 соответственно; эти проекты не заменяют друг другу одну и ту же статью. Правила специальной авторизации статьи 7 сохранены.</w:t>
      </w:r>
    </w:p>
    <w:p>
      <w:pPr>
        <w:pStyle w:val="Heading2"/>
      </w:pPr>
      <w:r>
        <w:t>173.txt</w:t>
      </w:r>
    </w:p>
    <w:p>
      <w:r>
        <w:t>Статьи 4, 7, 7.1, 9 проверялись с ПК и режимом тайны. ACT. 004 дает специальный персональный доступ, не открывает секреты стажерам и не разрешает запись конфиденциальной беседы. Общий срок ответа на запрос не заменяет обязанность предъявить доказательства при задержании.</w:t>
      </w:r>
    </w:p>
    <w:p>
      <w:pPr>
        <w:pStyle w:val="Heading2"/>
      </w:pPr>
      <w:r>
        <w:t>174.txt</w:t>
      </w:r>
    </w:p>
    <w:p>
      <w:r>
        <w:t>Конституционный закон сохраняет доступ прокурора по статье 20 и запись по статье 30; проверяемое ведомство не может блокировать их своим допуском. ACT. 003 прямо согласует это. Статья 36 об освобождении незаконно задержанного не заменяется ожиданием ведомственного разрешения.</w:t>
      </w:r>
    </w:p>
    <w:p>
      <w:pPr>
        <w:pStyle w:val="Heading1"/>
      </w:pPr>
      <w:r>
        <w:t>Вопросы, не закрытые этим пакетом</w:t>
      </w:r>
    </w:p>
    <w:p>
      <w:r>
        <w:t>Соответствие непредоставленному тексту Конституции, порядок принятия конституционных законов и полный порядок судопроизводства.</w:t>
      </w:r>
    </w:p>
    <w:p>
      <w:r>
        <w:t>Актуальные изображения закрытых и природоохранных территорий, их координаты, действующие решения о секретности и допуске.</w:t>
      </w:r>
    </w:p>
    <w:p>
      <w:r>
        <w:t>Часть 5 статьи 8 закона о противодействии терроризму допускает широкий набор нетеррористических составов; ее соотношение со статьей 9 требует отдельного решения об объеме режима.</w:t>
      </w:r>
    </w:p>
    <w:p>
      <w:r>
        <w:t>Полнота видов и критериев налоговых санкций, восстановительных платежей и добровольных имущественных оснований снятия дисциплинарных взысканий — без подмены проверки каждого состава общей декларацией.</w:t>
      </w:r>
    </w:p>
    <w:p>
      <w:r>
        <w:t>Файл правил проекта содержит основную редакцию и записи о последующих изменениях. Нельзя автоматически превращать каждую историческую формулировку, особенно отмеченную как удаленная, в новую норму. В законы не перенесены ссылки на администрацию проекта, игровые наказания и иные внешние механизмы.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