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Пояснения к ACT. 002</w:t>
      </w:r>
    </w:p>
    <w:p>
      <w:r>
        <w:t>Приоритет актов и законодательная инициатива</w:t>
      </w:r>
    </w:p>
    <w:p>
      <w:r>
        <w:t>Устранение безусловного приоритета отраслевых кодексов над актами большей юридической силы и согласование права законодательной инициативы.</w:t>
      </w:r>
    </w:p>
    <w:p>
      <w:r>
        <w:t>Источник: исключительно предоставленные файлы папки «Законы». Предлагаемые нормы не выдаются за действующую редакцию. Номер ACT является рабочим номером пакета, а не подтвержденным регистрационным номером Сената.</w:t>
      </w:r>
    </w:p>
    <w:p>
      <w:pPr>
        <w:pStyle w:val="Heading1"/>
      </w:pPr>
      <w:r>
        <w:t>Связанные проекты</w:t>
      </w:r>
    </w:p>
    <w:p>
      <w:r>
        <w:t>Рекомендуется совместное рассмотрение с ACT. 001.</w:t>
      </w:r>
    </w:p>
    <w:p>
      <w:pPr>
        <w:pStyle w:val="Heading1"/>
      </w:pPr>
      <w:r>
        <w:t>145.txt — статья 2</w:t>
      </w:r>
    </w:p>
    <w:p>
      <w:r>
        <w:t>Что и почему: Часть 1 не должна ставить процессуальный кодекс выше Конституции и конституционных законов.</w:t>
      </w:r>
    </w:p>
    <w:p>
      <w:r>
        <w:t>Пример: Процессуальное полномочие прокурора оценивается с учетом конституционного закона о прокуратуре.</w:t>
      </w:r>
    </w:p>
    <w:p>
      <w:r>
        <w:t>Измененные положения предложенной редакции:</w:t>
      </w:r>
    </w:p>
    <w:p>
      <w:r>
        <w:t>Часть 1. 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применяют настоящий Кодекс с соблюдением Конституции и конституционных законов штата San-Andreas. При противоречии применяется акт большей юридической силы.</w:t>
      </w:r>
    </w:p>
    <w:p>
      <w:r>
        <w:t>Часть 2. Суд, прокурор, сотрудники правоохранительных органов, а также другие лица, наделенные определенными правами и обязанностями, предусмотренными настоящим Кодексом, установив в ходе производства по делу несоответствие закона или иного нормативного правового акта настоящему Кодексу, принимают мотивированное решение с учетом юридической силы актов. Приоритет настоящего Кодекса применяется к процессуальным нормам законов равной юридической силы и не отменяет Конституцию и конституционные законы штата San-Andreas.</w:t>
      </w:r>
    </w:p>
    <w:p>
      <w:pPr>
        <w:pStyle w:val="Heading1"/>
      </w:pPr>
      <w:r>
        <w:t>148.txt — статья 5</w:t>
      </w:r>
    </w:p>
    <w:p>
      <w:r>
        <w:t>Что и почему: Часть 3 ограничивает отраслевой приоритет, сохраняя запрет ухудшения гарантий локальными актами.</w:t>
      </w:r>
    </w:p>
    <w:p>
      <w:r>
        <w:t>Пример: Устав не может отменить отпуск, но Трудовой кодекс не отменяет конституционный порядок назначения должностного лица.</w:t>
      </w:r>
    </w:p>
    <w:p>
      <w:r>
        <w:t>Измененные положения предложенной редакции:</w:t>
      </w:r>
    </w:p>
    <w:p>
      <w:r>
        <w:t>Часть 3. Нормы трудового права, содержащиеся в иных законах, должны соответствовать настоящему Кодексу. Приоритет настоящего Кодекса в трудовых отношениях действует в отношении законов равной юридической силы и подзаконных актов, но не отменяет Конституцию и конституционные законы штата San-Andreas.</w:t>
      </w:r>
    </w:p>
    <w:p>
      <w:pPr>
        <w:pStyle w:val="Heading1"/>
      </w:pPr>
      <w:r>
        <w:t>153.txt — статья 16</w:t>
      </w:r>
    </w:p>
    <w:p>
      <w:r>
        <w:t>Что и почему: Статья 12 содержит исключительный круг инициаторов, а статья 16 давала такое право любому участнику. Сохраняется возможность подготовить предложение без расширения круга инициаторов.</w:t>
      </w:r>
    </w:p>
    <w:p>
      <w:r>
        <w:t>Пример: Сенатор готовит проект и передает его Спикеру для внесения.</w:t>
      </w:r>
    </w:p>
    <w:p>
      <w:r>
        <w:t>Измененные положения предложенной редакции:</w:t>
      </w:r>
    </w:p>
    <w:p>
      <w:r>
        <w:t>- направлять предложения и проекты субъектам законодательной инициативы, указанным в статье 12 настоящего Закона; внесение проекта на рассмотрение Сената осуществляется указанными субъектами.</w:t>
      </w:r>
    </w:p>
    <w:p>
      <w:pPr>
        <w:pStyle w:val="Heading1"/>
      </w:pPr>
      <w:r>
        <w:t>Оформление и пределы проверки</w:t>
      </w:r>
    </w:p>
    <w:p>
      <w:r>
        <w:t>Для поправок использована форма приложения № 2: отдельная таблица из двух колонок и строго двух строк на каждую статью (заголовок и полный текст обеих редакций). Для нового закона использована форма приложения № 1. Сохраняются размеры страницы, поля, заголовки и оформление шаблонов. Красным показаны заменяемые фрагменты текущей редакции, зеленым — новые; неизмененный текст оставлен темным. Сокращенные обозначения частей, статей и пунктов развернуты в обеих колонках только редакционно, без изменения содержания. Главы закона 163.txt приведены целиком, поскольку исходник не разбит на статьи.</w:t>
      </w:r>
    </w:p>
    <w:p>
      <w:r>
        <w:t>Непредоставленные Конституция, закон о судебной системе, изображения границ и действующие ведомственные указы не реконструировались. Отсутствие таких файлов не доказывает отсутствие актов. Новые положения подлежат принятию уполномоченными субъектами; исходные файлы не изменены.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