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003</w:t>
      </w:r>
    </w:p>
    <w:p>
      <w:r>
        <w:t>Государственная тайна — основания и учет</w:t>
      </w:r>
    </w:p>
    <w:p>
      <w:r>
        <w:t>Уточнение понятий государственной тайны, оснований засекречивания, допуска и межведомственной передачи сведений.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Вводить одновременно с ACT. 004: в статье 3 используется специальный порядок статьи 5.</w:t>
      </w:r>
    </w:p>
    <w:p>
      <w:pPr>
        <w:pStyle w:val="Heading1"/>
      </w:pPr>
      <w:r>
        <w:t>164.txt — статья 1</w:t>
      </w:r>
    </w:p>
    <w:p>
      <w:r>
        <w:t>Что и почему: У закона появится определенный предмет защиты, а режим территории перестанет автоматически подменять секретность материалов.</w:t>
      </w:r>
    </w:p>
    <w:p>
      <w:r>
        <w:t>Пример: Проникновение на Форт-Занкудо доказывается записью; расположение защищенного оборудования в ее фоне оценивается отдельно.</w:t>
      </w:r>
    </w:p>
    <w:p>
      <w:r>
        <w:t>Измененные положения предложенной редакции:</w:t>
      </w:r>
    </w:p>
    <w:p>
      <w:r>
        <w:t>Статья 1. Сфера действия настоящего Закона</w:t>
      </w:r>
    </w:p>
    <w:p>
      <w:r>
        <w:t>Часть 1. Настоящий Закон регулирует отнесение государственных сведений к государственной тайне, их защиту, доступ к ним, передачу и рассекречивание.</w:t>
      </w:r>
    </w:p>
    <w:p>
      <w:r>
        <w:t>Часть 2. Государственную тайну составляют сведения в области обороны, безопасности государственных объектов, оперативно-розыскной деятельности и защищаемых государственных операций, разглашение которых создает обоснованную угрозу безопасности штата и которые засекречены в порядке настоящего Закона.</w:t>
      </w:r>
    </w:p>
    <w:p>
      <w:r>
        <w:t>Часть 3. Само нахождение лица или совершение правонарушения на закрытой либо особо охраняемой территории не означает, что факт нарушения и все материалы по нему составляют государственную тайну. Режим доступа на территорию и режим доступа к сведениям применяются раздельно.</w:t>
      </w:r>
    </w:p>
    <w:p>
      <w:r>
        <w:t>Часть 4. Настоящий Закон не отменяет врачебную, адвокатскую и иную охраняемую законом тайну, процессуальные гарантии защиты, полномочия суда и прокурорского надзора.</w:t>
      </w:r>
    </w:p>
    <w:p>
      <w:pPr>
        <w:pStyle w:val="Heading1"/>
      </w:pPr>
      <w:r>
        <w:t>164.txt — статья 2</w:t>
      </w:r>
    </w:p>
    <w:p>
      <w:r>
        <w:t>Что и почему: Разделены государственная тайна, служебное ограничение и иные тайны. Устранено противоречие «открытая информация только для служебного пользования».</w:t>
      </w:r>
    </w:p>
    <w:p>
      <w:r>
        <w:t>Пример: Медицинская справка без грифа N не становится общедоступной: врачебная тайна сохраняется.</w:t>
      </w:r>
    </w:p>
    <w:p>
      <w:r>
        <w:t>Измененные положения предложенной редакции:</w:t>
      </w:r>
    </w:p>
    <w:p>
      <w:r>
        <w:t>Статья 2. Основные понятия и уровни доступа</w:t>
      </w:r>
    </w:p>
    <w:p>
      <w:r>
        <w:t>Часть 1. Устанавливаются уровни секретности: Top Secret (TS) — высокий; Secret (S) — средний; Confidential (C) — низкий. Уровень определяется возможным ущербом от разглашения конкретных сведений и должен быть обоснован в решении о засекречивании.</w:t>
      </w:r>
    </w:p>
    <w:p>
      <w:r>
        <w:t>Часть 2. Unclassified (U) означает несекретную служебную информацию ограниченного распространения. Она не составляет государственную тайну. Ограничение ее предоставления допустимо только при наличии предусмотренного законом основания; маркировка U сама по себе такого основания не создает.</w:t>
      </w:r>
    </w:p>
    <w:p>
      <w:r>
        <w:t>Часть 3. None (N) означает отсутствие государственной секретности. Документ без маркировки и без относимого к нему действующего решения о засекречивании имеет уровень N. Отсутствие государственной секретности не отменяет иной охраняемой законом тайны.</w:t>
      </w:r>
    </w:p>
    <w:p>
      <w:r>
        <w:t>Часть 4. Допуск — подтвержденное право лица знакомиться со сведениями определенного уровня при служебной необходимости. Доступ — предоставление конкретных сведений в объеме законной задачи. Более высокий допуск охватывает нижестоящие уровни, но не дает права получать сведения, не относящиеся к задаче.</w:t>
      </w:r>
    </w:p>
    <w:p>
      <w:r>
        <w:t>Часть 5. На засекреченном документе или его электронной карточке указываются уровень, номер и дата решения о засекречивании. Для записи или иного носителя маркировка указывается в сопроводительной карточке с однозначным обозначением носителя и защищаемых фрагментов.</w:t>
      </w:r>
    </w:p>
    <w:p>
      <w:pPr>
        <w:pStyle w:val="Heading1"/>
      </w:pPr>
      <w:r>
        <w:t>164.txt — статья 3</w:t>
      </w:r>
    </w:p>
    <w:p>
      <w:r>
        <w:t>Что и почему: Прежняя статья регулировала только служащих и позволяла связать надзор с разрешением проверяемого органа. Сохраняются полномочия статьи 20 закона о прокуратуре и специальная защита источников.</w:t>
      </w:r>
    </w:p>
    <w:p>
      <w:r>
        <w:t>Пример: Прокурору передают относящийся к проверке оригинал записи, не требуя согласия начальника, чьи действия обжалуются.</w:t>
      </w:r>
    </w:p>
    <w:p>
      <w:r>
        <w:t>Измененные положения предложенной редакции:</w:t>
      </w:r>
    </w:p>
    <w:p>
      <w:r>
        <w:t>Статья 3. Допуск и доступ к сведениям</w:t>
      </w:r>
    </w:p>
    <w:p>
      <w:r>
        <w:t>Часть 1. Допуск государственных служащих оформляется руководством соответствующего органа или подразделения на основании указа Губернатора, Вице-Губернатора, Генерального прокурора либо Главы Департамента национальной безопасности. Указываются лицо или должности, уровень, служебная цель и срок допуска. Отдельное указание должности допускает доступ только действующему лицу, занимающему эту должность.</w:t>
      </w:r>
    </w:p>
    <w:p>
      <w:r>
        <w:t>Часть 2. Доступ предоставляется после проверки личности, допуска и связи запрашиваемых сведений с законной задачей. Лицо предупреждается об обязанности не разглашать сведения вне предусмотренных законом случаев; факт предупреждения и предоставленный объем фиксируются письменно либо на служебной видеозаписи.</w:t>
      </w:r>
    </w:p>
    <w:p>
      <w:r>
        <w:t>Часть 3. Суд и сотрудники Офиса Генерального прокурора получают необходимые для осуществления их законных полномочий материалы на основании своего процессуального статуса и мотивированного требования, без разрешения проверяемого органа. Они обязаны обеспечить защиту материалов. Ограничения доступа к сведениям о конфиденциальных источниках, установленные законом об оперативно-розыскной деятельности, сохраняются.</w:t>
      </w:r>
    </w:p>
    <w:p>
      <w:r>
        <w:t>Часть 4. Адвокат и его доверитель получают относящиеся к защите материалы по специальному порядку статьи 5 настоящего Закона. Общий допуск к ведомственным секретам не является условием оказания юридической помощи.</w:t>
      </w:r>
    </w:p>
    <w:p>
      <w:r>
        <w:t>Часть 5. Допуск к сведениям не заменяет разрешение на посещение закрытого объекта, а разрешение на посещение объекта не заменяет допуск к сведениям. Отказ в доступе должен быть мотивирован и может быть обжалован прокурору или в суд. Жалоба на действия прокурора подается вышестоящему прокурору или в суд.</w:t>
      </w:r>
    </w:p>
    <w:p>
      <w:pPr>
        <w:pStyle w:val="Heading1"/>
      </w:pPr>
      <w:r>
        <w:t>164.txt — статья 4</w:t>
      </w:r>
    </w:p>
    <w:p>
      <w:r>
        <w:t>Что и почему: Устранены повторяющиеся абзацы и разные перечни распорядителей. Введены проверяемое основание, учет, сроки и запрет ретроактивной секретности.</w:t>
      </w:r>
    </w:p>
    <w:p>
      <w:r>
        <w:t>Пример: Нельзя после жалобы объявить всю видеозапись секретной, чтобы скрыть незаконное задержание.</w:t>
      </w:r>
    </w:p>
    <w:p>
      <w:r>
        <w:t>Измененные положения предложенной редакции:</w:t>
      </w:r>
    </w:p>
    <w:p>
      <w:r>
        <w:t>Статья 4. Засекречивание, передача и рассекречивание сведений</w:t>
      </w:r>
    </w:p>
    <w:p>
      <w:r>
        <w:t>Часть 1. Орган, получивший или разработавший сведения, обосновывает необходимость их засекречивания. Решение принимает Губернатор, Вице-Губернатор, Генеральный прокурор либо Глава Департамента национальной безопасности письменным указом в пределах своих полномочий.</w:t>
      </w:r>
    </w:p>
    <w:p>
      <w:r>
        <w:t>Часть 2. Указ содержит перечень конкретных сведений или однозначно определенную категорию сведений, описание угрозы от разглашения, уровень секретности, орган хранения, круг служебных задач, срок засекречивания и дату пересмотра. Засекречивание органа или подразделения целиком без определения защищаемых сведений не допускается.</w:t>
      </w:r>
    </w:p>
    <w:p>
      <w:r>
        <w:t>Часть 3. Решение учитывается в реестре органа хранения; на материалы наносится маркировка согласно статье 2. До оформления решения материалы сохраняются в исходном виде с соблюдением уже существующих законных ограничений. Последующее засекречивание не создает задним числом обязанности, которой не существовало на момент передачи сведений.</w:t>
      </w:r>
    </w:p>
    <w:p>
      <w:r>
        <w:t>Часть 4. Не допускается засекречивание с целью скрыть нарушение закона, препятствовать проверке законности действий должностных лиц либо скрыть от задержанного основания задержания. Секретные сведения, не относящиеся к нарушению, защищаются отдельно от материалов, необходимых для проверки и защиты.</w:t>
      </w:r>
    </w:p>
    <w:p>
      <w:r>
        <w:t>Часть 5. При передаче между государственными органами проверяются допуск получателя и служебная цель. Передача оформляется письменным соглашением руководства органов либо распоряжением Губернатора, Вице-Губернатора или глав департаментов в пределах их компетенции. Распоряжение не заменяет необходимый допуск. Передача по законному требованию суда, прокурора и по статье 5 настоящего Закона не требует межведомственного соглашения.</w:t>
      </w:r>
    </w:p>
    <w:p>
      <w:r>
        <w:t>Часть 6. В учетной записи передачи указываются отправитель, получатель, материалы, объем доступа, основание, дата и способ передачи. Передача не снимает секретность с оригинала и не разрешает дальнейшее распространение вне законной цели.</w:t>
      </w:r>
    </w:p>
    <w:p>
      <w:r>
        <w:t>Часть 7. Рассекречивание и изменение уровня производятся мотивированным указом одного из должностных лиц, указанных в части 1 настоящей статьи, в пределах его компетенции. По истечении установленного срока секретность прекращается, если до его истечения не принято новое мотивированное решение. Держатель обязан актуализировать маркировку и уведомить известных получателей.</w:t>
      </w:r>
    </w:p>
    <w:p>
      <w:r>
        <w:t>Часть 8. Действующие до вступления настоящей редакции в силу решения подлежат приведению в соответствие с частями 2 и 3 в течение семи суток. После этого срока решения, не позволяющие установить защищаемые сведения, основание и срок, не могут служить самостоятельным основанием отказа в доступе. Иная охраняемая законом тайна сохраняется.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