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Пояснения к ACT. 005</w:t>
      </w:r>
    </w:p>
    <w:p>
      <w:r>
        <w:t>Гарантии задержания и отсутствие административного ареста</w:t>
      </w:r>
    </w:p>
    <w:p>
      <w:r>
        <w:t>Согласование вызова адвоката, оснований освобождения и административной процедуры с действующими видами наказаний.</w:t>
      </w:r>
    </w:p>
    <w:p>
      <w:r>
        <w:t>Источник: исключительно предоставленные файлы папки «Законы». Предлагаемые нормы не выдаются за действующую редакцию. Номер ACT является рабочим номером пакета, а не подтвержденным регистрационным номером Сената.</w:t>
      </w:r>
    </w:p>
    <w:p>
      <w:pPr>
        <w:pStyle w:val="Heading1"/>
      </w:pPr>
      <w:r>
        <w:t>Связанные проекты</w:t>
      </w:r>
    </w:p>
    <w:p>
      <w:r>
        <w:t>Рассматривать с ACT. 004 и ACT. 007.</w:t>
      </w:r>
    </w:p>
    <w:p>
      <w:pPr>
        <w:pStyle w:val="Heading1"/>
      </w:pPr>
      <w:r>
        <w:t>145.txt — статья 17</w:t>
      </w:r>
    </w:p>
    <w:p>
      <w:r>
        <w:t>Что и почему: Изменено примечание 2 к части 4.1: непринятие первого вызова больше не закрывает доступ к другому способу вызова. Остальная статья, включая порядок по ордерам, сохранена.</w:t>
      </w:r>
    </w:p>
    <w:p>
      <w:r>
        <w:t>Пример: Государственный адвокат не ответил; сотрудник предоставляет приложение для вызова частного адвоката, а не сразу переходит к аресту.</w:t>
      </w:r>
    </w:p>
    <w:p>
      <w:r>
        <w:t>Измененные положения предложенной редакции:</w:t>
      </w:r>
    </w:p>
    <w:p>
      <w:r>
        <w:t>Примечание 2: Если государственный адвокат не принял вызов в течение 3 минут, задержанному предоставляется возможность вызвать частного адвоката через приложение «Адвокаты». Право на вызов считается реализованным после непринятия обоих вызовов в течение 3 минут каждый либо после явно выраженного отказа задержанного от предложенного вызова. При принятии вызова действует установленное настоящей статьей время ожидания прибытия. Вызов и реализация права на защиту осуществляются в помещении для задержанных или допросной. Нельзя считать отсутствие ответа государственного адвоката отказом задержанного от частного адвоката.</w:t>
      </w:r>
    </w:p>
    <w:p>
      <w:pPr>
        <w:pStyle w:val="Heading1"/>
      </w:pPr>
      <w:r>
        <w:t>145.txt — статья 20</w:t>
      </w:r>
    </w:p>
    <w:p>
      <w:r>
        <w:t>Что и почему: Устранена коллизия с законным ордером в отношении неприкосновенного лица. Исключено искусственное обнуление часа и задержка ради оформления секретности.</w:t>
      </w:r>
    </w:p>
    <w:p>
      <w:r>
        <w:t>Пример: После передачи SANG задержанного в LSPD время не отсчитывается заново; секретность не продлевает задержание.</w:t>
      </w:r>
    </w:p>
    <w:p>
      <w:r>
        <w:t>Измененные положения предложенной редакции:</w:t>
      </w:r>
    </w:p>
    <w:p>
      <w:r>
        <w:t>д) подозреваемый обладает действующим статусом неприкосновенности и отсутствует предусмотренное законом основание для продолжения его задержания;</w:t>
      </w:r>
    </w:p>
    <w:p>
      <w:r>
        <w:t>Исключение к пункту «д»: допускается неотложное задержание при непосредственной угрозе жизни или здоровью в порядке закона о неприкосновенности. Дальнейшее удержание и арест требуют самостоятельного законного основания и соблюдения специальных правил об ордерах.</w:t>
      </w:r>
    </w:p>
    <w:p>
      <w:r>
        <w:t>Часть 3. Сроки ожидания адвоката и конфиденциальной встречи определяются статьей 17 настоящего Кодекса и статьей 7.1 закона об адвокатуре. Ожидание оформления допуска к государственной тайне или разрешения ведомства на предоставление доказательств не приостанавливает срок задержания. При передаче задержанного другому органу срок исчисляется с первоначального фактического задержания и заново не начинается.</w:t>
      </w:r>
    </w:p>
    <w:p>
      <w:pPr>
        <w:pStyle w:val="Heading1"/>
      </w:pPr>
      <w:r>
        <w:t>145.txt — статья 22</w:t>
      </w:r>
    </w:p>
    <w:p>
      <w:r>
        <w:t>Что и почему: Общее описание звонка согласовано с прямо установленным в статье 17 назначением звонка. Дополнительный способ вызова не поглощается лимитом одного звонка.</w:t>
      </w:r>
    </w:p>
    <w:p>
      <w:r>
        <w:t>Пример: Неответ на звонок не отменяет предусмотренный порядок обращения через приложение.</w:t>
      </w:r>
    </w:p>
    <w:p>
      <w:r>
        <w:t>Измененные положения предложенной редакции:</w:t>
      </w:r>
    </w:p>
    <w:p>
      <w:r>
        <w:t>а) Подозреваемый имеет право на телефонный звонок для связи с частным адвокатом в порядке статьи 17 настоящего Кодекса. Длительность звонка не превышает 3 минут. Такой звонок не заменяет обязанность предложить другой способ вызова адвоката в случаях, предусмотренных статьей 17;</w:t>
      </w:r>
    </w:p>
    <w:p>
      <w:pPr>
        <w:pStyle w:val="Heading1"/>
      </w:pPr>
      <w:r>
        <w:t>145.txt — статья 25</w:t>
      </w:r>
    </w:p>
    <w:p>
      <w:r>
        <w:t>Что и почему: Часть 2 предписывала помещение в камеру и выдачу розыска для наказания, отсутствующего в статье 3.2 Административного кодекса. Меры установления личности сохранены.</w:t>
      </w:r>
    </w:p>
    <w:p>
      <w:r>
        <w:t>Пример: За административное нарушение назначают предусмотренный штраф, а не десять суток в камере.</w:t>
      </w:r>
    </w:p>
    <w:p>
      <w:r>
        <w:t>Измененные положения предложенной редакции:</w:t>
      </w:r>
    </w:p>
    <w:p>
      <w:r>
        <w:t>Часть 2. За административное правонарушение применяются только предусмотренные административным законодательством наказания. Административный арест и помещение в камеру в качестве административного наказания не допускаются, поскольку такой вид наказания не установлен Административным кодексом. При выявлении самостоятельных признаков преступления вопрос об уголовном задержании и аресте разрешается на общих основаниях Процессуального и Уголовного кодексов, а не в порядке назначения административного наказания.</w:t>
      </w:r>
    </w:p>
    <w:p>
      <w:pPr>
        <w:pStyle w:val="Heading1"/>
      </w:pPr>
      <w:r>
        <w:t>Оформление и пределы проверки</w:t>
      </w:r>
    </w:p>
    <w:p>
      <w:r>
        <w:t>Для поправок использована форма приложения № 2: отдельная таблица из двух колонок и строго двух строк на каждую статью (заголовок и полный текст обеих редакций). Для нового закона использована форма приложения № 1. Сохраняются размеры страницы, поля, заголовки и оформление шаблонов. Красным показаны заменяемые фрагменты текущей редакции, зеленым — новые; неизмененный текст оставлен темным. Сокращенные обозначения частей, статей и пунктов развернуты в обеих колонках только редакционно, без изменения содержания. Главы закона 163.txt приведены целиком, поскольку исходник не разбит на статьи.</w:t>
      </w:r>
    </w:p>
    <w:p>
      <w:r>
        <w:t>Непредоставленные Конституция, закон о судебной системе, изображения границ и действующие ведомственные указы не реконструировались. Отсутствие таких файлов не доказывает отсутствие актов. Новые положения подлежат принятию уполномоченными субъектами; исходные файлы не изменены.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