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008</w:t>
      </w:r>
    </w:p>
    <w:p>
      <w:r>
        <w:t>Охрана поставок и пределы ответственности</w:t>
      </w:r>
    </w:p>
    <w:p>
      <w:r>
        <w:t>Согласование специальной охраны поставок с основаниями уголовной ответственности и безопасным применением оружия. Запрет вмешательства в поставку сохраняется.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170.txt — статья 4</w:t>
      </w:r>
    </w:p>
    <w:p>
      <w:r>
        <w:t>Что и почему: Устраняется автоматическая квалификация любого применения силы как разбоя: у статьи 10.4 обязательна цель хищения. Остановка из части 1 сохранена.</w:t>
      </w:r>
    </w:p>
    <w:p>
      <w:r>
        <w:t>Пример: Сотрудник, незаконно пытающийся остановить колонну, отвечает за доказанный состав, но не автоматически за хищение.</w:t>
      </w:r>
    </w:p>
    <w:p>
      <w:r>
        <w:t>Измененные положения предложенной редакции:</w:t>
      </w:r>
    </w:p>
    <w:p>
      <w:r>
        <w:t>Статья 4. Исключительные случаи остановки и квалификация нападения</w:t>
      </w:r>
    </w:p>
    <w:p>
      <w:r>
        <w:t>Часть 1. Остановка колонны допускается в случае перекрытия дороги к прямой точке назначения. Сотрудники сопровождения не обязаны исполнять незаконные требования об остановке, указанные в статье 3 настоящего Закона.</w:t>
      </w:r>
    </w:p>
    <w:p>
      <w:r>
        <w:t>Часть 2. Применение силы против колонны оценивается по установленным обстоятельствам. Статья 10.4 Уголовного кодекса применяется только при наличии нападения в целях хищения чужого имущества с насилием, опасным для жизни или здоровья, либо с угрозой такого насилия. При отсутствии этих признаков деяние квалифицируется по иной применимой статье Уголовного или Административного кодекса при наличии всех признаков соответствующего состава.</w:t>
      </w:r>
    </w:p>
    <w:p>
      <w:r>
        <w:t>Часть 3. Сам по себе статус поставки не доказывает вину конкретного лица, цель хищения или отсутствие обстоятельств необходимой обороны и крайней необходимости.</w:t>
      </w:r>
    </w:p>
    <w:p>
      <w:pPr>
        <w:pStyle w:val="Heading1"/>
      </w:pPr>
      <w:r>
        <w:t>170.txt — статья 5</w:t>
      </w:r>
    </w:p>
    <w:p>
      <w:r>
        <w:t>Что и почему: Исключены наказание вне санкции, автоматическое увольнение и ответственность без причинной связи. Согласовано со статьями 1.2 и 15.1 УК, статьями 18–21 ТК и статьей 28.1 ГК.</w:t>
      </w:r>
    </w:p>
    <w:p>
      <w:r>
        <w:t>Пример: Если груз утрачен из-за другого события, нельзя взыскать его полную стоимость с остановившего колонну без доказывания связи.</w:t>
      </w:r>
    </w:p>
    <w:p>
      <w:r>
        <w:t>Измененные положения предложенной редакции:</w:t>
      </w:r>
    </w:p>
    <w:p>
      <w:r>
        <w:t>Статья 5. Ответственность за препятствование</w:t>
      </w:r>
    </w:p>
    <w:p>
      <w:r>
        <w:t>Часть 1. Умышленное незаконное препятствование производству или движению колонны, включая блокирование, таран и опасное подрезание, влечет ответственность по Уголовному или Административному кодексу при наличии установленного соответствующим кодексом состава правонарушения.</w:t>
      </w:r>
    </w:p>
    <w:p>
      <w:r>
        <w:t>Часть 2. Статья 15.1 Уголовного кодекса применяется к должностному лицу при доказанности превышения его полномочий и иных обязательных признаков указанной статьи. Действия гражданского лица не квалифицируются как превышение должностных полномочий только на основании создания помех колонне.</w:t>
      </w:r>
    </w:p>
    <w:p>
      <w:r>
        <w:t>Часть 3. Утрата груза не влечет автоматического назначения максимального срока лишения свободы. Наказание назначается в пределах санкции применимой статьи с учетом вины, причинной связи и предусмотренных Уголовным кодексом обстоятельств.</w:t>
      </w:r>
    </w:p>
    <w:p>
      <w:r>
        <w:t>Часть 4. Увольнение производится при наличии предусмотренных трудовым законодательством и Процессуальным кодексом оснований. Возмещение причиненного ущерба и регресс разрешаются с установлением размера вреда, вины и причинной связи в порядке гражданского законодательства. Само создание помех не является решением о взыскании полной стоимости груза.</w:t>
      </w:r>
    </w:p>
    <w:p>
      <w:pPr>
        <w:pStyle w:val="Heading1"/>
      </w:pPr>
      <w:r>
        <w:t>170.txt — статья 6</w:t>
      </w:r>
    </w:p>
    <w:p>
      <w:r>
        <w:t>Что и почему: Устраняется разрешение начать огонь по движущейся колонне и автоматическое признание любого сопровождения угрозой национальной безопасности. Запрет вмешательства сохранен.</w:t>
      </w:r>
    </w:p>
    <w:p>
      <w:r>
        <w:t>Пример: Охрана сначала останавливает колонну при перекрытии и оценивает реальную угрозу; два предупреждения не разрешают стрелять на ходу.</w:t>
      </w:r>
    </w:p>
    <w:p>
      <w:r>
        <w:t>Измененные положения предложенной редакции:</w:t>
      </w:r>
    </w:p>
    <w:p>
      <w:r>
        <w:t>Статья 6. Применение оружия при охране поставки</w:t>
      </w:r>
    </w:p>
    <w:p>
      <w:r>
        <w:t>Часть 1. Колонна, осуществляющая специальную логистическую операцию, является объектом повышенной государственной охраны. Сопровождение обязано пресекать незаконное вмешательство с соблюдением оснований и пределов применения силы.</w:t>
      </w:r>
    </w:p>
    <w:p>
      <w:r>
        <w:t>Часть 2. Таран, блокирование и попытка разделения колонны подлежат оценке по фактической угрозе. Они не признаются автоматически вооруженным нападением только вследствие нарушения порядка движения.</w:t>
      </w:r>
    </w:p>
    <w:p>
      <w:r>
        <w:t>Часть 3. При нападении на поставку применение огнестрельного оружия допускается после полной остановки колонны и при наличии оснований, предусмотренных статьей 37 Процессуального кодекса. Огонь из движущейся колонны или начало перестрелки до ее полной остановки не допускаются.</w:t>
      </w:r>
    </w:p>
    <w:p>
      <w:r>
        <w:t>Часть 4. Несанкционированное сопровождение и попытки вклиниться в колонну пресекаются законными требованиями прекратить вмешательство. Неисполнение двух требований само по себе не дает права стрелять по колесам или по людям до полной остановки колонны и без предусмотренного законом основания.</w:t>
      </w:r>
    </w:p>
    <w:p>
      <w:r>
        <w:t>Часть 5. Предупреждение о применении силы и отказ от него при непосредственной угрозе жизни определяются законом. Применение силы прекращается после устранения основания. Действия сопровождения фиксируются; исходная запись сохраняется не менее 72 часов, а при проверке или обжаловании — до завершения производства в соответствии с Процессуальным кодексом.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