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Пояснения к ACT. 011</w:t>
      </w:r>
    </w:p>
    <w:p>
      <w:r>
        <w:t>Техническое согласование Дорожного кодекса</w:t>
      </w:r>
    </w:p>
    <w:p>
      <w:r>
        <w:t>Устранение двойной нумерации статьи 11 и согласование момента оплаты дорожного штрафа с сопровождением к банкомату.</w:t>
      </w:r>
    </w:p>
    <w:p>
      <w:r>
        <w:t>Источник: исключительно предоставленные файлы папки «Законы». Предлагаемые нормы не выдаются за действующую редакцию. Номер ACT является рабочим номером пакета, а не подтвержденным регистрационным номером Сената.</w:t>
      </w:r>
    </w:p>
    <w:p>
      <w:pPr>
        <w:pStyle w:val="Heading1"/>
      </w:pPr>
      <w:r>
        <w:t>147.txt — статья 11</w:t>
      </w:r>
    </w:p>
    <w:p>
      <w:r>
        <w:t>Что и почему: В исходнике под номером 11 одновременно стояли отметка об утрате силы и действующее правило. Сохранено правило со всей санкцией; следующая нумерация не меняется.</w:t>
      </w:r>
    </w:p>
    <w:p>
      <w:r>
        <w:t>Пример: Ссылка на статью 11 однозначно означает условия использования специальных сигналов.</w:t>
      </w:r>
    </w:p>
    <w:p>
      <w:pPr>
        <w:pStyle w:val="Heading1"/>
      </w:pPr>
      <w:r>
        <w:t>147.txt — статья 3</w:t>
      </w:r>
    </w:p>
    <w:p>
      <w:r>
        <w:t>Что и почему: Сохранен установленный срок 15 секунд; его начало согласовано с обязанностью предоставить банкомат, без изменения существующей платежной процедуры.</w:t>
      </w:r>
    </w:p>
    <w:p>
      <w:r>
        <w:t>Пример: Время поездки до банкомата не считается пятнадцатисекундным сроком оплаты.</w:t>
      </w:r>
    </w:p>
    <w:p>
      <w:r>
        <w:t>Измененные положения предложенной редакции:</w:t>
      </w:r>
    </w:p>
    <w:p>
      <w:r>
        <w:t>Часть 2. До передачи штрафной квитанции сотрудник разъясняет основание и сумму штрафа. При отсутствии у лица достаточных наличных средств сотрудник предоставляет возможность оплаты в порядке статьи 21 Процессуального кодекса. Установленные 15 секунд исчисляются после передачи квитанции при обеспеченной возможности оплаты, а не в течение доставки к банкомату. Отсутствие средств само по себе не означает совершения нового преступления.</w:t>
      </w:r>
    </w:p>
    <w:p>
      <w:pPr>
        <w:pStyle w:val="Heading1"/>
      </w:pPr>
      <w:r>
        <w:t>Оформление и пределы проверки</w:t>
      </w:r>
    </w:p>
    <w:p>
      <w:r>
        <w:t>Для поправок использована форма приложения № 2: отдельная таблица из двух колонок и строго двух строк на каждую статью (заголовок и полный текст обеих редакций). Для нового закона использована форма приложения № 1. Сохраняются размеры страницы, поля, заголовки и оформление шаблонов. Красным показаны заменяемые фрагменты текущей редакции, зеленым — новые; неизмененный текст оставлен темным. Сокращенные обозначения частей, статей и пунктов развернуты в обеих колонках только редакционно, без изменения содержания. Главы закона 163.txt приведены целиком, поскольку исходник не разбит на статьи.</w:t>
      </w:r>
    </w:p>
    <w:p>
      <w:r>
        <w:t>Непредоставленные Конституция, закон о судебной системе, изображения границ и действующие ведомственные указы не реконструировались. Отсутствие таких файлов не доказывает отсутствие актов. Новые положения подлежат принятию уполномоченными субъектами; исходные файлы не изменены.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