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Пояснения к ACT. 013</w:t>
      </w:r>
    </w:p>
    <w:p>
      <w:r>
        <w:t>Сроки уведомления о публичных мероприятиях</w:t>
      </w:r>
    </w:p>
    <w:p>
      <w:r>
        <w:t>Исправление невозможного интервала подачи уведомления и согласование сроков ответа организатора.</w:t>
      </w:r>
    </w:p>
    <w:p>
      <w:r>
        <w:t>Источник: исключительно предоставленные файлы папки «Законы». Предлагаемые нормы не выдаются за действующую редакцию. Номер ACT является рабочим номером пакета, а не подтвержденным регистрационным номером Сената.</w:t>
      </w:r>
    </w:p>
    <w:p>
      <w:pPr>
        <w:pStyle w:val="Heading1"/>
      </w:pPr>
      <w:r>
        <w:t>169.txt — статья 7</w:t>
      </w:r>
    </w:p>
    <w:p>
      <w:r>
        <w:t>Что и почему: Интервал «не ранее 1 и не позднее 5 дней» невозможно соблюсти. Сохранены исходные границы 1 и 5, исправлено их направление; день подачи и день мероприятия по-прежнему исключены.</w:t>
      </w:r>
    </w:p>
    <w:p>
      <w:r>
        <w:t>Пример: Для мероприятия в пятницу уведомление можно подать в среду: четверг остается полным днем между подачей и мероприятием.</w:t>
      </w:r>
    </w:p>
    <w:p>
      <w:r>
        <w:t>Измененные положения предложенной редакции:</w:t>
      </w:r>
    </w:p>
    <w:p>
      <w:r>
        <w:t>Часть 1. Уведомление о проведении публичного мероприятия (за исключением публичного мероприятия, проводимого Правительством штата San-Andreas или государственными структурами штата San-Andreas) подается его организатором в письменной или электронной форме Генеральному прокурору штата San-Andreas в срок не ранее чем за 5 полных календарных дней и не позднее чем за 1 полный календарный день до дня проведения публичного мероприятия.</w:t>
      </w:r>
    </w:p>
    <w:p>
      <w:r>
        <w:t>При исчислении сроков подачи уведомления о проведении публичного мероприятия не учитываются день получения такого Генеральным прокурором штата San-Andreas и день проведения публичного мероприятия.</w:t>
      </w:r>
    </w:p>
    <w:p>
      <w:pPr>
        <w:pStyle w:val="Heading1"/>
      </w:pPr>
      <w:r>
        <w:t>169.txt — статья 5</w:t>
      </w:r>
    </w:p>
    <w:p>
      <w:r>
        <w:t>Что и почему: Трехдневный срок ответа невозможно исполнить при законной подаче за один полный день. Уточнен адресат уведомления по статье 7, право Правительства предлагать изменения сохранено.</w:t>
      </w:r>
    </w:p>
    <w:p>
      <w:r>
        <w:t>Пример: Если предложение о переносе получено за день до события, организатор отвечает до начала, а не задним числом за три дня.</w:t>
      </w:r>
    </w:p>
    <w:p>
      <w:r>
        <w:t>Измененные положения предложенной редакции:</w:t>
      </w:r>
    </w:p>
    <w:p>
      <w:r>
        <w:t>- Подать Генеральному прокурору штата San-Andreas уведомление о проведении публичного мероприятия в порядке, установленном статьей 7 настоящего закона;</w:t>
      </w:r>
    </w:p>
    <w:p>
      <w:r>
        <w:t>- После получения предложения и до начала публичного мероприятия информировать Правительство штата San-Andreas в письменной форме о принятии его предложения об изменении места и (или) времени проведения публичного мероприятия, указанных в уведомлении о проведении публичного мероприятия, либо о неприятии предложения Правительства штата San-Andreas и об отказе от проведения публичного мероприятия в указанных в таком уведомлении месте, времени и форме;</w:t>
      </w:r>
    </w:p>
    <w:p>
      <w:pPr>
        <w:pStyle w:val="Heading1"/>
      </w:pPr>
      <w:r>
        <w:t>Оформление и пределы проверки</w:t>
      </w:r>
    </w:p>
    <w:p>
      <w:r>
        <w:t>Для поправок использована форма приложения № 2: отдельная таблица из двух колонок и строго двух строк на каждую статью (заголовок и полный текст обеих редакций). Для нового закона использована форма приложения № 1. Сохраняются размеры страницы, поля, заголовки и оформление шаблонов. Красным показаны заменяемые фрагменты текущей редакции, зеленым — новые; неизмененный текст оставлен темным. Сокращенные обозначения частей, статей и пунктов развернуты в обеих колонках только редакционно, без изменения содержания. Главы закона 163.txt приведены целиком, поскольку исходник не разбит на статьи.</w:t>
      </w:r>
    </w:p>
    <w:p>
      <w:r>
        <w:t>Непредоставленные Конституция, закон о судебной системе, изображения границ и действующие ведомственные указы не реконструировались. Отсутствие таких файлов не доказывает отсутствие актов. Новые положения подлежат принятию уполномоченными субъектами; исходные файлы не изменены.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