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jc w:val="center"/>
        <w:rPr>
          <w:rFonts w:ascii="Century Schoolbook" w:eastAsia="Century Schoolbook" w:hAnsi="Century Schoolbook" w:cs="Century Schoolbook"/>
          <w:b/>
          <w:bCs/>
          <w:color w:val="333333"/>
          <w:sz w:val="74"/>
          <w:szCs w:val="74"/>
        </w:rPr>
      </w:pPr>
      <w:r>
        <w:rPr>
          <w:rFonts w:ascii="Century Schoolbook" w:hAnsi="Century Schoolbook" w:eastAsia="Century Schoolbook" w:cs="Century Schoolbook"/>
          <w:b/>
          <w:color w:val="333333"/>
          <w:sz w:val="74"/>
        </w:rPr>
        <w:t>ACT. 145</w:t>
      </w:r>
    </w:p>
    <w:p>
      <w:pPr>
        <w:rPr>
          <w:rFonts w:ascii="Century Schoolbook" w:eastAsia="Century Schoolbook" w:hAnsi="Century Schoolbook" w:cs="Century Schoolbook"/>
        </w:rPr>
      </w:pPr>
    </w:p>
    <w:p>
      <w:pPr>
        <w:jc w:val="center"/>
        <w:rPr>
          <w:rFonts w:ascii="Century Schoolbook" w:eastAsia="Century Schoolbook" w:hAnsi="Century Schoolbook" w:cs="Century Schoolbook"/>
          <w:color w:val="333333"/>
          <w:sz w:val="30"/>
          <w:szCs w:val="30"/>
          <w:lang w:val="en-US"/>
        </w:rPr>
      </w:pPr>
      <w:r>
        <w:rPr>
          <w:rFonts w:ascii="Century Schoolbook" w:hAnsi="Century Schoolbook" w:eastAsia="Century Schoolbook" w:cs="Century Schoolbook"/>
          <w:color w:val="333333"/>
          <w:sz w:val="30"/>
        </w:rPr>
        <w:t>IN THE SENATE OF THE STATE OF SAN ANDREAS</w:t>
      </w:r>
    </w:p>
    <w:p>
      <w:pPr>
        <w:jc w:val="center"/>
        <w:rPr>
          <w:rFonts w:ascii="Century Schoolbook" w:eastAsia="Century Schoolbook" w:hAnsi="Century Schoolbook" w:cs="Century Schoolbook"/>
          <w:color w:val="333333"/>
          <w:sz w:val="30"/>
          <w:szCs w:val="30"/>
        </w:rPr>
      </w:pPr>
      <w:r>
        <w:rPr>
          <w:rFonts w:ascii="Century Schoolbook" w:hAnsi="Century Schoolbook" w:eastAsia="Century Schoolbook" w:cs="Century Schoolbook"/>
          <w:color w:val="333333"/>
          <w:sz w:val="30"/>
        </w:rPr>
        <w:t>MARCH 00, 2026</w:t>
      </w:r>
    </w:p>
    <w:p>
      <w:pPr>
        <w:rPr>
          <w:rFonts w:ascii="Century Schoolbook" w:eastAsia="Century Schoolbook" w:hAnsi="Century Schoolbook" w:cs="Century Schoolbook"/>
        </w:rPr>
      </w:pPr>
    </w:p>
    <w:p>
      <w:pPr>
        <w:jc w:val="center"/>
        <w:rPr>
          <w:rFonts w:ascii="Century Schoolbook" w:eastAsia="Century Schoolbook" w:hAnsi="Century Schoolbook" w:cs="Century Schoolbook"/>
          <w:color w:val="333333"/>
          <w:sz w:val="60"/>
          <w:szCs w:val="60"/>
        </w:rPr>
      </w:pPr>
      <w:r>
        <w:rPr>
          <w:rFonts w:ascii="Century Schoolbook" w:hAnsi="Century Schoolbook" w:eastAsia="Century Schoolbook" w:cs="Century Schoolbook"/>
          <w:color w:val="333333"/>
          <w:sz w:val="60"/>
        </w:rPr>
        <w:t>ЗАКОНОПРОЕКТ</w:t>
      </w:r>
    </w:p>
    <w:p>
      <w:pPr>
        <w:jc w:val="center"/>
        <w:rPr>
          <w:rFonts w:ascii="Times New Roman" w:eastAsia="Times New Roman" w:hAnsi="Times New Roman" w:cs="Times New Roman"/>
          <w:color w:val="333333"/>
          <w:sz w:val="28"/>
          <w:szCs w:val="28"/>
        </w:rPr>
      </w:pPr>
      <w:r>
        <w:rPr>
          <w:rFonts w:ascii="Times New Roman" w:hAnsi="Times New Roman" w:eastAsia="Times New Roman" w:cs="Times New Roman"/>
          <w:color w:val="333333"/>
          <w:sz w:val="28"/>
        </w:rPr>
        <w:t>о внесении изменений в действующий закон</w:t>
      </w:r>
    </w:p>
    <w:p>
      <w:pPr>
        <w:jc w:val="center"/>
        <w:rPr>
          <w:rFonts w:ascii="Times New Roman" w:eastAsia="Times New Roman" w:hAnsi="Times New Roman" w:cs="Times New Roman"/>
          <w:color w:val="333333"/>
          <w:sz w:val="28"/>
          <w:szCs w:val="28"/>
        </w:rPr>
      </w:pPr>
    </w:p>
    <w:p>
      <w:pPr>
        <w:spacing w:after="300"/>
        <w:ind w:left="960" w:hanging="480"/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333333"/>
          <w:sz w:val="24"/>
        </w:rPr>
        <w:t>SECTION 1.</w:t>
      </w:r>
      <w:r>
        <w:rPr>
          <w:rFonts w:ascii="Times New Roman" w:hAnsi="Times New Roman" w:eastAsia="Times New Roman" w:cs="Times New Roman"/>
          <w:color w:val="333333"/>
          <w:sz w:val="24"/>
        </w:rPr>
        <w:t xml:space="preserve"> </w:t>
      </w:r>
      <w:r>
        <w:rPr>
          <w:rFonts w:ascii="Times New Roman" w:hAnsi="Times New Roman" w:eastAsia="Times New Roman" w:cs="Times New Roman"/>
          <w:b/>
          <w:color w:val="333333"/>
          <w:sz w:val="24"/>
        </w:rPr>
        <w:t>СУТЬ ПРАВКИ.</w:t>
      </w:r>
    </w:p>
    <w:p>
      <w:pPr>
        <w:spacing w:after="300"/>
        <w:ind w:left="960" w:hanging="480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333333"/>
          <w:sz w:val="24"/>
        </w:rPr>
        <w:t>В Процессуальный кодекс штата San-Andreas вносятся изменения, устраняющие коллизии с процессуальными законами и другими законами штата. Статья 2 дополнена нормой о соотношении кодекса и специальных законов (гарантии специальных законов сохраняются; при противоречии — норма, наиболее благоприятная для лица). Восстановлена потерянная при сборке текста ст. 17.3 «Порядок реализации права на защиту»; включается новая ст. 19.1 «Правовая защита сотрудника государственной структуры при исполнении служебных обязанностей», обеспечивающая единый объём гарантий для сотрудников всех государственных структур и адвокатов. Унифицированы срочные ограничения: срок уведомления при обыске жилища без ордера — 1 час (ст. 4 ч. 2); срочное ограничение тайны переписки — по постановлению Генерального прокурора с проверкой судом (ст. 5 ч. 2). Статья 12 ч. 2 «в» приведена в соответствие с законом о системе ордеров. Статья 40 «Юридическая реабилитация» приведена в соответствие со ст. 1.9 Уголовного кодекса (снятие судимости — судом по ходатайству; перечень категорий преступлений, за которые снятие не допускается; единая цена; средства — в казну штата). Внесены структурные исправления (пустая «Глава XI. Утратила силу», дублирование «Главы XVII», заголовок ст. 76; подтверждена единственность копии текста).</w:t>
      </w:r>
    </w:p>
    <w:p>
      <w:pPr>
        <w:spacing w:after="300"/>
        <w:ind w:firstLine="48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333333"/>
          <w:sz w:val="24"/>
        </w:rPr>
        <w:t>SECTION. 2. ВНЕСЕНИЕ ПРАВКИ В Процессуальный кодекс штата San-Andreas</w:t>
      </w:r>
    </w:p>
    <w:p>
      <w:pPr>
        <w:spacing w:after="300"/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</w:rPr>
      </w:pPr>
    </w:p>
    <w:tbl>
      <w:tblPr>
        <w:tblStyle w:val="a5"/>
        <w:tblW w:w="11880" w:type="dxa"/>
        <w:tblInd w:w="-14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940"/>
        <w:gridCol w:w="5940"/>
      </w:tblGrid>
      <w:tr w:rsidR="00A038B7" w14:paraId="36DF0F85" w14:textId="77777777"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AA0BE5" w14:textId="77777777" w:rsidR="00A038B7" w:rsidRDefault="008916D6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настоящая редакция</w:t>
            </w: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96FFC6" w14:textId="77777777" w:rsidR="00A038B7" w:rsidRDefault="008916D6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предложенный вариант</w:t>
            </w:r>
          </w:p>
        </w:tc>
      </w:tr>
      <w:tr w:rsidR="00A038B7" w14:paraId="782D4BE9" w14:textId="77777777"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632AD3" w14:textId="77777777" w:rsidR="00A038B7" w:rsidRDefault="008916D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Статья 2. Законность при производстве по уголовным, административным, гражданским и иным делам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hd w:val="clear" w:color="auto" w:fill="F4CCCC"/>
              </w:rPr>
              <w:t>ч. 1. Суд, прокурор, сотрудники правоохранительных органов, а также другие лица, наделенные определенными правами и обязанностями, предусмотренными настоящим Кодексом, не вправе применять закон, противоречащий настоящему Кодексу.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hd w:val="clear" w:color="auto" w:fill="F4CCCC"/>
              </w:rPr>
              <w:t>ч. 2. Суд, прокурор, сотрудники правоохранительных органов, а также другие лица, наделенные определенными правами и обязанностями, предусмотренными настоящим Кодексом, установив в ходе производства по делу несоответствие закона или иного нормативного правового акта настоящему Кодексу, принимают решение в соответствии с настоящим Кодексом.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ч. 3. Определения суда, постановления судьи, следователя, прокурора должны быть законными, обоснованными и мотивированными.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ч. 4. Суд, прокурор, следователь обязаны мотивировать свои доводы. Так официальные ответы об отказе в принятии жалоб, заявлений, ходатайств, обращений, прошений должны содержать причины отказа. Официальные ответы уведомительного характера о ходе производства также должны содержать мотивированную часть о дальнейшем ходе дела. </w:t>
            </w: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4C5B1E" w14:textId="77777777" w:rsidR="00A038B7" w:rsidRDefault="008916D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Статья 2. Законность при производстве по уголовным, административным, гражданским и иным делам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ч. 1. </w:t>
            </w:r>
            <w:r>
              <w:rPr>
                <w:rFonts w:ascii="Times New Roman" w:hAnsi="Times New Roman" w:eastAsia="Times New Roman" w:cs="Times New Roman"/>
                <w:sz w:val="24"/>
                <w:shd w:val="clear" w:color="auto" w:fill="D9EAD3"/>
              </w:rPr>
              <w:t>Производство по уголовным, административным, гражданским и иным делам осуществляется в соответствии с настоящим Кодексом. Суд, прокурор, сотрудники правоохранительных органов и иные лица, наделённые полномочиями настоящим Кодексом, не вправе применять нормы иных актов, противоречащие настоящему Кодексу в части порядка производства.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ч. 2. </w:t>
            </w:r>
            <w:r>
              <w:rPr>
                <w:rFonts w:ascii="Times New Roman" w:hAnsi="Times New Roman" w:eastAsia="Times New Roman" w:cs="Times New Roman"/>
                <w:sz w:val="24"/>
                <w:shd w:val="clear" w:color="auto" w:fill="D9EAD3"/>
              </w:rPr>
              <w:t>Гарантии, иммунитеты, запреты и ограничения, установленные иными законами (в том числе законом о деятельности региональных правоохранительных органов, о Федеральном Расследовательском Бюро, о деятельности Секретной Службы Соединённых Штатов Америки в штате San-Andreas, о Национальной гвардии штата San-Andreas, об Экстренной Медицинской Службе в штате San-Andreas, об обеспечении неприкосновенности государственных служащих штата San-Andreas, об адвокатуре и адвокатской деятельности в штате San-Andreas и о деятельности Офиса Генерального прокурора штата San-Andreas), сохраняют силу и применяются в части, не урегулированной настоящим Кодексом. Если иной закон устанавливает дополнительную гарантию прав лица, применяется норма, наиболее благоприятная для такого лица.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ч. 3. </w:t>
            </w:r>
            <w:r>
              <w:rPr>
                <w:rFonts w:ascii="Times New Roman" w:hAnsi="Times New Roman" w:eastAsia="Times New Roman" w:cs="Times New Roman"/>
                <w:sz w:val="24"/>
                <w:shd w:val="clear" w:color="auto" w:fill="D9EAD3"/>
              </w:rPr>
              <w:t>При противоречии настоящего Кодекса и специального закона в части, прямо регулирующей порядок производства по отдельной категории дел, применяется специальный закон.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ч. 4. Определения суда, постановления судьи, следователя, прокурора должны быть законными, обоснованными и мотивированными.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ч. 5. Суд, прокурор, следователь обязаны мотивировать свои доводы. Так официальные ответы об отказе в принятии жалоб, заявлений, ходатайств, обращений, прошений должны содержать причины отказа. Официальные ответы уведомительного характера о ходе производства также должны содержать мотивированную часть о дальнейшем ходе дела.</w:t>
            </w:r>
          </w:p>
        </w:tc>
      </w:tr>
      <w:tr w:rsidR="00A038B7" w14:paraId="782D4BE9" w14:textId="77777777"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632AD3" w14:textId="77777777" w:rsidR="00A038B7" w:rsidRDefault="008916D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Статья 4. Неприкосновенность жилища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ч. 1. Осмотр жилища производится только с согласия проживающих в нем лиц или на основании судебного акта.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ч. 2. Обыск жилища производится также при наличии судебного решения, судебного ордера, ордера Генерального Прокурора и его Заместителей. В исключительных случаях, когда обыск жилища не терпит отлагательства, указанные следственные действия могут быть произведены на основании решения сотрудника правоохранительных органов без ордера Генерального Прокурора, решения суда или судебного ордера. В этом случае сотрудники правоохранительных органов не позднее 1 часа с момента начала производства следственного действия уведомляет прокурора о производстве следственного действия. 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ч. 3. Выдача ордеров на обыск нежилого помещения, является исключительной компетенцией суда, генерального прокурора, заместителя генерального прокурора. Обыск нежилого помещения и находящегося в нем имущества может быть произведен на основании ордера. </w:t>
            </w: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4C5B1E" w14:textId="77777777" w:rsidR="00A038B7" w:rsidRDefault="008916D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Статья 4. Неприкосновенность жилища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ч. 1. Осмотр жилища производится только с согласия проживающих в нем лиц или на основании судебного акта.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ч. 2. Обыск жилища производится также при наличии судебного решения, судебного ордера, ордера Генерального Прокурора и его Заместителей. В исключительных случаях, когда обыск жилища не терпит отлагательства, указанные следственные действия могут быть произведены на основании решения сотрудника правоохранительных органов без ордера Генерального Прокурора, решения суда или судебного ордера. В этом случае сотрудники правоохранительных органов не позднее 1 часа с момента начала производства следственного действия уведомляет прокурора о производстве следственного действия. </w:t>
            </w:r>
            <w:r>
              <w:rPr>
                <w:rFonts w:ascii="Times New Roman" w:hAnsi="Times New Roman" w:eastAsia="Times New Roman" w:cs="Times New Roman"/>
                <w:sz w:val="24"/>
                <w:shd w:val="clear" w:color="auto" w:fill="D9EAD3"/>
              </w:rPr>
              <w:t>Обыск жилища без ордера производится только в исключительных (неотложных) случаях. Единый срок уведомления прокурора при производстве обыска жилища без ордера составляет 1 час; иные сроки, установленные специальными законами, не применяются.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ч. 3. Выдача ордеров на обыск нежилого помещения, является исключительной компетенцией суда, генерального прокурора, заместителя генерального прокурора. Обыск нежилого помещения и находящегося в нем имущества может быть произведен на основании ордера.</w:t>
            </w:r>
          </w:p>
        </w:tc>
      </w:tr>
      <w:tr w:rsidR="00A038B7" w14:paraId="782D4BE9" w14:textId="77777777"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632AD3" w14:textId="77777777" w:rsidR="00A038B7" w:rsidRDefault="008916D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Статья 5. Тайна переписки, телефонных и иных переговоров, почтовых, телеграфных и иных сообщений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ч. 1. Ограничение права гражданина на тайну переписки, телефонных и иных переговоров, почтовых, телеграфных и иных сообщений допускается только на основании судебного акта.</w:t>
            </w: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4C5B1E" w14:textId="77777777" w:rsidR="00A038B7" w:rsidRDefault="008916D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Статья 5. Тайна переписки, телефонных и иных переговоров, почтовых, телеграфных и иных сообщений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ч. 1. Ограничение права гражданина на тайну переписки, телефонных и иных переговоров, почтовых, телеграфных и иных сообщений допускается только на основании судебного акта.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hd w:val="clear" w:color="auto" w:fill="D9EAD3"/>
              </w:rPr>
              <w:t>ч. 2. В неотложных случаях, когда промедление создаёт угрозу жизни и здоровью граждан либо может привести к утрате доказательств, ограничение допускается по постановлению Генерального прокурора или его заместителя с обязательным уведомлением суда в течение 24 часов. Суд проверяет законность постановления в течение 48 часов; при признании его незаконным полученные материалы уничтожаются, а доказательства признаются недопустимыми (статья 12 настоящего Кодекса).</w:t>
            </w:r>
          </w:p>
        </w:tc>
      </w:tr>
      <w:tr w:rsidR="00A038B7" w14:paraId="782D4BE9" w14:textId="77777777"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632AD3" w14:textId="77777777" w:rsidR="00A038B7" w:rsidRDefault="008916D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Статья 12. Недопустимые доказательства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ч. 1. Доказательства, полученные с нарушением требований настоящего Кодекса, являются недопустимыми. Недопустимые доказательства не имеют юридической силы и не могут быть положены в основу обвинения, а также использоваться для доказывания любого из обстоятельств.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ч. 2. К недопустимым доказательствам относятся: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а) любая информация, полученная от задержанного в ходе допроса до того, как ему были зачитаны его права, даже если есть звуко или видеозапись где обвиняемый дает показания против себя.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б) показания потерпевшего, свидетеля, основанные на догадке, предположении, слухе, а также показания свидетеля, который не может указать источник своей осведомленности;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в) улики добытые незаконным путем, когда были нарушены положения действующих нормативно-правовых актов (изъятие орудия без ордера на обыск личного транспорта, </w:t>
            </w:r>
            <w:r>
              <w:rPr>
                <w:rFonts w:ascii="Times New Roman" w:hAnsi="Times New Roman" w:eastAsia="Times New Roman" w:cs="Times New Roman"/>
                <w:sz w:val="24"/>
                <w:shd w:val="clear" w:color="auto" w:fill="F4CCCC"/>
              </w:rPr>
              <w:t>изъятие незаконных вещей у лица с неприкосновенностью без судебного решения или ордера Генерального Прокурора о снятии неприкосновенности,</w:t>
            </w:r>
            <w:r>
              <w:rPr>
                <w:rFonts w:ascii="Times New Roman" w:hAnsi="Times New Roman" w:eastAsia="Times New Roman" w:cs="Times New Roman"/>
                <w:sz w:val="24"/>
              </w:rPr>
              <w:t xml:space="preserve"> информация, которая получена с нарушением порядка проведения конфиденциальной встречи и т.д.)</w:t>
            </w: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4C5B1E" w14:textId="77777777" w:rsidR="00A038B7" w:rsidRDefault="008916D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Статья 12. Недопустимые доказательства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ч. 1. Доказательства, полученные с нарушением требований настоящего Кодекса, являются недопустимыми. Недопустимые доказательства не имеют юридической силы и не могут быть положены в основу обвинения, а также использоваться для доказывания любого из обстоятельств.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ч. 2. К недопустимым доказательствам относятся: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а) любая информация, полученная от задержанного в ходе допроса до того, как ему были зачитаны его права, даже если есть звуко или видеозапись где обвиняемый дает показания против себя.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б) показания потерпевшего, свидетеля, основанные на догадке, предположении, слухе, а также показания свидетеля, который не может указать источник своей осведомленности;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в) улики добытые незаконным путем, когда были нарушены положения действующих нормативно-правовых актов (изъятие орудия без ордера на обыск личного транспорта, изъятие незаконных вещей у лица с неприкосновенностью без судебного решения </w:t>
            </w:r>
            <w:r>
              <w:rPr>
                <w:rFonts w:ascii="Times New Roman" w:hAnsi="Times New Roman" w:eastAsia="Times New Roman" w:cs="Times New Roman"/>
                <w:sz w:val="24"/>
                <w:shd w:val="clear" w:color="auto" w:fill="D9EAD3"/>
              </w:rPr>
              <w:t>или ордера RI (снятие неприкосновенности), SI (приостановление статуса) либо AS (арест), авторизованного в порядке, установленном законом «О системе ордеров штата San-Andreas»</w:t>
            </w:r>
            <w:r>
              <w:rPr>
                <w:rFonts w:ascii="Times New Roman" w:hAnsi="Times New Roman" w:eastAsia="Times New Roman" w:cs="Times New Roman"/>
                <w:sz w:val="24"/>
              </w:rPr>
              <w:t>, информация, которая получена с нарушением порядка проведения конфиденциальной встречи и т.д.)</w:t>
            </w:r>
          </w:p>
        </w:tc>
      </w:tr>
      <w:tr w:rsidR="00A038B7" w14:paraId="782D4BE9" w14:textId="77777777"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632AD3" w14:textId="77777777" w:rsidR="00A038B7" w:rsidRDefault="008916D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(статья отсутствует в тексте Процессуального кодекса, предложенного Сенату; текст утерян при сборке редакции — восстанавливается из ранее действовавшего издания Кодекса)</w:t>
            </w: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4C5B1E" w14:textId="77777777" w:rsidR="00A038B7" w:rsidRDefault="008916D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hd w:val="clear" w:color="auto" w:fill="D9EAD3"/>
              </w:rPr>
              <w:t>Статья 17.3. Порядок реализации права на защиту.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hd w:val="clear" w:color="auto" w:fill="D9EAD3"/>
              </w:rPr>
              <w:t>ч. 1. Ознакомление защитника с доказательствами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hd w:val="clear" w:color="auto" w:fill="D9EAD3"/>
              </w:rPr>
              <w:t>ч. 2. Проведение по волеизъявлению доверителя встречи защитника с доверителем в условиях конфиденциальности.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hd w:val="clear" w:color="auto" w:fill="D9EAD3"/>
              </w:rPr>
              <w:t>ч. 3. Оказание доверителю консультационной рекомендации от защитника по вопросам обжалования действий (бездействий) и решений, затрагивающих его права и законные интересы.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hd w:val="clear" w:color="auto" w:fill="D9EAD3"/>
              </w:rPr>
              <w:t>ч. 4. Адвокатское прошение.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hd w:val="clear" w:color="auto" w:fill="D9EAD3"/>
              </w:rPr>
              <w:t>Примечание 1: Прошение о смягчении наказания.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hd w:val="clear" w:color="auto" w:fill="D9EAD3"/>
              </w:rPr>
              <w:t>1) Адвокат вправе заявить в интересах доверителя прошение о назначении более мягкого наказания, сокращении срока лишения свободы, либо применении штрафа в случаях, предусмотренных настоящим законодательством штата, указывая обстоятельства, обосновывающие смягчение наказания.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hd w:val="clear" w:color="auto" w:fill="D9EAD3"/>
              </w:rPr>
              <w:t>2) При рассмотрении прошения уполномоченное лицо оценивает характер деяния, личность обвиняемого, наличие смягчающих обстоятельств, возмещение вреда, содействие расследованию и иные существенные обстоятельства. Прошение не ограничивает полномочия Офиса Генерального Прокурора либо сотрудника, уполномоченного принять решение в предусмотренных законом случаях.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hd w:val="clear" w:color="auto" w:fill="D9EAD3"/>
              </w:rPr>
              <w:t>3) Отказ в удовлетворении прошения должен быть мотивирован согласно статье 2 часть 5.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hd w:val="clear" w:color="auto" w:fill="D9EAD3"/>
              </w:rPr>
              <w:t>Примечание 2: Прошение об освобождении доверителя.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hd w:val="clear" w:color="auto" w:fill="D9EAD3"/>
              </w:rPr>
              <w:t>1) Адвокат вправе заявить прошение об освобождении доверителя при наличии оснований, установленных статьёй 20 настоящего Кодекса.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hd w:val="clear" w:color="auto" w:fill="D9EAD3"/>
              </w:rPr>
              <w:t>2) Отказ в удовлетворении прошения должен быть мотивирован согласно статье 2 часть 5.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hd w:val="clear" w:color="auto" w:fill="D9EAD3"/>
              </w:rPr>
              <w:t>Примечание 3: Отказ от дачи прошения, равно как и воздержание от его оглашения, не является отказом от защиты или ненадлежащим исполнением обязанностей.</w:t>
            </w:r>
          </w:p>
        </w:tc>
      </w:tr>
      <w:tr w:rsidR="00A038B7" w14:paraId="782D4BE9" w14:textId="77777777"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632AD3" w14:textId="77777777" w:rsidR="00A038B7" w:rsidRDefault="008916D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(статья отсутствует в тексте Процессуального кодекса, предложенного Сенату; включается новой после статьи 19)</w:t>
            </w: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4C5B1E" w14:textId="77777777" w:rsidR="00A038B7" w:rsidRDefault="008916D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hd w:val="clear" w:color="auto" w:fill="D9EAD3"/>
              </w:rPr>
              <w:t>Статья 19.1. Правовая защита сотрудника государственной структуры при исполнении служебных обязанностей.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hd w:val="clear" w:color="auto" w:fill="D9EAD3"/>
              </w:rPr>
              <w:t>ч. 1. При исполнении сотрудником государственной структуры служебных обязанностей не допускаются его привод, задержание, личный обыск и обыск его вещей, а также обыск личного и используемого им транспорта, за исключением случаев, когда: а) действия сотрудника несут непосредственную угрозу жизни или здоровью окружающих; б) имеются достаточные основания подозревать совершение сотрудником преступления; в) авторизован ордер AS, AR или AI в соответствии с законом «О системе ордеров штата San-Andreas»; г) имеется вступившее в силу решение суда.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hd w:val="clear" w:color="auto" w:fill="D9EAD3"/>
              </w:rPr>
              <w:t>ч. 2. В случаях, предусмотренных частью 1 настоящей статьи, применяется порядок статьи 19 настоящего Кодекса.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hd w:val="clear" w:color="auto" w:fill="D9EAD3"/>
              </w:rPr>
              <w:t>ч. 3. Гарантии настоящей статьи распространяются на сотрудников правоохранительных органов, Федерального Расследовательского Бюро, Секретной Службы Соединённых Штатов Америки в штате San-Andreas, Национальной гвардии штата San-Andreas, Экстренной Медицинской Службы, Офиса Генерального прокурора, а также на адвокатов в объёме, установленном законом об адвокатуре.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hd w:val="clear" w:color="auto" w:fill="D9EAD3"/>
              </w:rPr>
              <w:t>ч. 4. Нормы иных законов, устанавливающие иной объём гарантий, применяются в части, не противоречащей настоящей статье.</w:t>
            </w:r>
          </w:p>
        </w:tc>
      </w:tr>
      <w:tr w:rsidR="00A038B7" w14:paraId="782D4BE9" w14:textId="77777777"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632AD3" w14:textId="77777777" w:rsidR="00A038B7" w:rsidRDefault="008916D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Статья 40. Юридическая реабилитация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hd w:val="clear" w:color="auto" w:fill="F4CCCC"/>
              </w:rPr>
              <w:t>ч. 1. Граждане имеют право на юридическую реабилитацию, обратившись в судебные или другие уполномоченные инстанции.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hd w:val="clear" w:color="auto" w:fill="F4CCCC"/>
              </w:rPr>
              <w:t>ч. 2. Губернатор устанавливает перечень лиц, уполномоченных на проведение юридических реабилитаций.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ч. 3. Стоимость юридической реабилитации составляет: 125.000$ (сто двадцать пять тысяч )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hd w:val="clear" w:color="auto" w:fill="F4CCCC"/>
              </w:rPr>
              <w:t>ч. 4. 25.000$ от суммы юридической реабилитации направляется на финансирование работы сотрудника, который снимает судимость.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ч. 5. 100.000$ от суммы судебной пошлины за юридическую реабилитацию направляется в казну штата San-Andreas.</w:t>
            </w: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4C5B1E" w14:textId="77777777" w:rsidR="00A038B7" w:rsidRDefault="008916D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Статья 40. Юридическая реабилитация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ч. 1. </w:t>
            </w:r>
            <w:r>
              <w:rPr>
                <w:rFonts w:ascii="Times New Roman" w:hAnsi="Times New Roman" w:eastAsia="Times New Roman" w:cs="Times New Roman"/>
                <w:sz w:val="24"/>
                <w:shd w:val="clear" w:color="auto" w:fill="D9EAD3"/>
              </w:rPr>
              <w:t>Снятие судимости производится судом по ходатайству лица при наличии оснований, предусмотренных частью 7 статьи 1.9 Уголовного кодекса штата San-Andreas.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ч. 2. </w:t>
            </w:r>
            <w:r>
              <w:rPr>
                <w:rFonts w:ascii="Times New Roman" w:hAnsi="Times New Roman" w:eastAsia="Times New Roman" w:cs="Times New Roman"/>
                <w:sz w:val="24"/>
                <w:shd w:val="clear" w:color="auto" w:fill="D9EAD3"/>
              </w:rPr>
              <w:t>Не допускается снятие судимости за следующие преступления: против государственной власти и основ конституционного строя; террористической и экстремистской направленности; коррупционного характера; против половой неприкосновенности.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ч. 3. Стоимость юридической реабилитации составляет: 125.000$ (сто двадцать пять тысяч )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ч. 4. 100.000$ от суммы судебной пошлины за юридическую реабилитацию направляется в казну штата San-Andreas.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ч. 5. </w:t>
            </w:r>
            <w:r>
              <w:rPr>
                <w:rFonts w:ascii="Times New Roman" w:hAnsi="Times New Roman" w:eastAsia="Times New Roman" w:cs="Times New Roman"/>
                <w:sz w:val="24"/>
                <w:shd w:val="clear" w:color="auto" w:fill="D9EAD3"/>
              </w:rPr>
              <w:t>Отказ в снятии судимости оформляется письменно с указанием причин и может быть обжалован в суд.</w:t>
            </w:r>
          </w:p>
        </w:tc>
      </w:tr>
      <w:tr w:rsidR="00A038B7" w14:paraId="782D4BE9" w14:textId="77777777"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632AD3" w14:textId="77777777" w:rsidR="00A038B7" w:rsidRDefault="008916D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Статья 56. Контроль и запись переговоров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ч. 1. При наличии достаточных оснований полагать, что телефонные и иные переговоры (в том числе сообщения) подозреваемого, обвиняемого и других лиц могут содержать сведения, имеющие значение для уголовного дела, их контроль и запись допускаются при производстве по уголовным делам. 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hd w:val="clear" w:color="auto" w:fill="F4CCCC"/>
              </w:rPr>
              <w:t>ч. 2. Контроль и запись переговоров допускается только на основании судебного решения.</w:t>
            </w: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4C5B1E" w14:textId="77777777" w:rsidR="00A038B7" w:rsidRDefault="008916D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Статья 56. Контроль и запись переговоров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ч. 1. При наличии достаточных оснований полагать, что телефонные и иные переговоры (в том числе сообщения) подозреваемого, обвиняемого и других лиц могут содержать сведения, имеющие значение для уголовного дела, их контроль и запись допускаются при производстве по уголовным делам.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ч. 2. Контроль и запись переговоров допускается только на основании судебного решения</w:t>
            </w:r>
            <w:r>
              <w:rPr>
                <w:rFonts w:ascii="Times New Roman" w:hAnsi="Times New Roman" w:eastAsia="Times New Roman" w:cs="Times New Roman"/>
                <w:sz w:val="24"/>
                <w:shd w:val="clear" w:color="auto" w:fill="D9EAD3"/>
              </w:rPr>
              <w:t>, а в неотложных случаях — в порядке части 2 статьи 5 настоящего Кодекса</w:t>
            </w:r>
            <w:r>
              <w:rPr>
                <w:rFonts w:ascii="Times New Roman" w:hAnsi="Times New Roman" w:eastAsia="Times New Roman" w:cs="Times New Roman"/>
                <w:sz w:val="24"/>
              </w:rPr>
              <w:t>.</w:t>
            </w:r>
          </w:p>
        </w:tc>
      </w:tr>
    </w:tbl>
    <w:sectPr w:rsidR="00A038B7">
      <w:footerReference w:type="default" r:id="rId7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4845452" w14:textId="77777777" w:rsidR="00CD3973" w:rsidRDefault="00CD3973">
      <w:pPr>
        <w:spacing w:line="240" w:lineRule="auto"/>
      </w:pPr>
      <w:r>
        <w:separator/>
      </w:r>
    </w:p>
  </w:endnote>
  <w:endnote w:type="continuationSeparator" w:id="0">
    <w:p w14:paraId="694892D0" w14:textId="77777777" w:rsidR="00CD3973" w:rsidRDefault="00CD397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entury Schoolbook">
    <w:panose1 w:val="02040604050505020304"/>
    <w:charset w:val="CC"/>
    <w:family w:val="roman"/>
    <w:pitch w:val="variable"/>
    <w:sig w:usb0="00000287" w:usb1="00000000" w:usb2="00000000" w:usb3="00000000" w:csb0="0000009F" w:csb1="00000000"/>
    <w:embedRegular r:id="rId1" w:fontKey="{0E7E737F-7A40-451F-B37D-E179469EA5FE}"/>
    <w:embedBold r:id="rId2" w:fontKey="{98CD7C9E-D131-464E-AA82-6E3F37D023F4}"/>
  </w:font>
  <w:font w:name="Book Antiqua">
    <w:panose1 w:val="02040602050305030304"/>
    <w:charset w:val="CC"/>
    <w:family w:val="roman"/>
    <w:pitch w:val="variable"/>
    <w:sig w:usb0="00000287" w:usb1="00000000" w:usb2="00000000" w:usb3="00000000" w:csb0="0000009F" w:csb1="00000000"/>
    <w:embedRegular r:id="rId3" w:fontKey="{6125E755-F3AB-4FBA-8EFE-86E120334436}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4" w:fontKey="{6325ABEA-0292-4C8E-86BB-868BD0569FB3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5" w:fontKey="{E474E786-49E8-4FA6-A262-FB897A2748E4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6529BF" w14:textId="77777777" w:rsidR="00A038B7" w:rsidRDefault="00CD3973">
    <w:pPr>
      <w:widowControl w:val="0"/>
      <w:tabs>
        <w:tab w:val="left" w:pos="560"/>
        <w:tab w:val="left" w:pos="1120"/>
        <w:tab w:val="left" w:pos="1680"/>
        <w:tab w:val="left" w:pos="2240"/>
        <w:tab w:val="left" w:pos="2800"/>
        <w:tab w:val="left" w:pos="3360"/>
        <w:tab w:val="left" w:pos="3920"/>
        <w:tab w:val="left" w:pos="4480"/>
        <w:tab w:val="left" w:pos="5040"/>
        <w:tab w:val="left" w:pos="5600"/>
        <w:tab w:val="left" w:pos="6160"/>
        <w:tab w:val="left" w:pos="6720"/>
      </w:tabs>
      <w:spacing w:after="120" w:line="240" w:lineRule="auto"/>
      <w:rPr>
        <w:rFonts w:ascii="Book Antiqua" w:eastAsia="Book Antiqua" w:hAnsi="Book Antiqua" w:cs="Book Antiqua"/>
        <w:sz w:val="16"/>
        <w:szCs w:val="16"/>
      </w:rPr>
    </w:pPr>
    <w:r>
      <w:pict w14:anchorId="7EE4291E">
        <v:rect id="_x0000_i1027" style="width:0;height:1.5pt" o:hralign="center" o:hrstd="t" o:hr="t" fillcolor="#a0a0a0" stroked="f"/>
      </w:pict>
    </w:r>
    <w:r w:rsidR="008916D6">
      <w:rPr>
        <w:noProof/>
      </w:rPr>
      <w:drawing>
        <wp:anchor distT="114300" distB="114300" distL="114300" distR="114300" simplePos="0" relativeHeight="251658240" behindDoc="0" locked="0" layoutInCell="1" hidden="0" allowOverlap="1" wp14:anchorId="120A6ED2" wp14:editId="354A18C6">
          <wp:simplePos x="0" y="0"/>
          <wp:positionH relativeFrom="column">
            <wp:posOffset>723900</wp:posOffset>
          </wp:positionH>
          <wp:positionV relativeFrom="paragraph">
            <wp:posOffset>13843551</wp:posOffset>
          </wp:positionV>
          <wp:extent cx="2190638" cy="1206181"/>
          <wp:effectExtent l="40268" t="76673" r="40268" b="76673"/>
          <wp:wrapNone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 rot="21354312">
                    <a:off x="0" y="0"/>
                    <a:ext cx="2190638" cy="1206181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15FF8C3C" w14:textId="77777777" w:rsidR="00A038B7" w:rsidRDefault="008916D6">
    <w:r>
      <w:rPr>
        <w:rFonts w:ascii="Century Schoolbook" w:eastAsia="Century Schoolbook" w:hAnsi="Century Schoolbook" w:cs="Century Schoolbook"/>
      </w:rPr>
      <w:t xml:space="preserve">Page </w:t>
    </w:r>
    <w:r>
      <w:fldChar w:fldCharType="begin"/>
    </w:r>
    <w:r>
      <w:instrText>PAGE</w:instrText>
    </w:r>
    <w:r>
      <w:fldChar w:fldCharType="separate"/>
    </w:r>
    <w:r w:rsidR="00F378E8">
      <w:rPr>
        <w:noProof/>
      </w:rPr>
      <w:t>1</w:t>
    </w:r>
    <w:r>
      <w:fldChar w:fldCharType="end"/>
    </w:r>
    <w:r>
      <w:rPr>
        <w:rFonts w:ascii="Century Schoolbook" w:eastAsia="Century Schoolbook" w:hAnsi="Century Schoolbook" w:cs="Century Schoolbook"/>
      </w:rPr>
      <w:t>.</w:t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  <w:t xml:space="preserve"> </w:t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</w:r>
    <w:proofErr w:type="spellStart"/>
    <w:r>
      <w:rPr>
        <w:rFonts w:ascii="Century Schoolbook" w:eastAsia="Century Schoolbook" w:hAnsi="Century Schoolbook" w:cs="Century Schoolbook"/>
      </w:rPr>
      <w:t>Attest</w:t>
    </w:r>
    <w:proofErr w:type="spellEnd"/>
    <w:r>
      <w:rPr>
        <w:rFonts w:ascii="Century Schoolbook" w:eastAsia="Century Schoolbook" w:hAnsi="Century Schoolbook" w:cs="Century Schoolbook"/>
      </w:rPr>
      <w:t xml:space="preserve">: Name </w:t>
    </w:r>
    <w:proofErr w:type="spellStart"/>
    <w:r>
      <w:rPr>
        <w:rFonts w:ascii="Century Schoolbook" w:eastAsia="Century Schoolbook" w:hAnsi="Century Schoolbook" w:cs="Century Schoolbook"/>
      </w:rPr>
      <w:t>Surname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FDB99F5" w14:textId="77777777" w:rsidR="00CD3973" w:rsidRDefault="00CD3973">
      <w:pPr>
        <w:spacing w:line="240" w:lineRule="auto"/>
      </w:pPr>
      <w:r>
        <w:separator/>
      </w:r>
    </w:p>
  </w:footnote>
  <w:footnote w:type="continuationSeparator" w:id="0">
    <w:p w14:paraId="2FE9386C" w14:textId="77777777" w:rsidR="00CD3973" w:rsidRDefault="00CD3973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38B7"/>
    <w:rsid w:val="008916D6"/>
    <w:rsid w:val="00A038B7"/>
    <w:rsid w:val="00CD3973"/>
    <w:rsid w:val="00F378E8"/>
    <w:rsid w:val="00FD53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C3120E3"/>
  <w15:docId w15:val="{E7AC449B-6AC4-4740-99F6-5A9DE536B7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894D67F-55BE-4A6A-A0FF-FE0705F13E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169</Words>
  <Characters>968</Characters>
  <Application>Microsoft Office Word</Application>
  <DocSecurity>0</DocSecurity>
  <Lines>8</Lines>
  <Paragraphs>2</Paragraphs>
  <ScaleCrop>false</ScaleCrop>
  <Company/>
  <LinksUpToDate>false</LinksUpToDate>
  <CharactersWithSpaces>1135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Даниил Нечаев</cp:lastModifiedBy>
  <cp:revision>3</cp:revision>
  <dcterms:created xsi:type="dcterms:W3CDTF">2026-09-25T21:37:00Z</dcterms:created>
  <dcterms:modified xsi:type="dcterms:W3CDTF">2026-09-26T14:03:00Z</dcterms:modified>
</cp:coreProperties>
</file>