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hAnsi="Century Schoolbook" w:eastAsia="Century Schoolbook" w:cs="Century Schoolbook"/>
          <w:b/>
          <w:color w:val="333333"/>
          <w:sz w:val="74"/>
        </w:rPr>
        <w:t>ACT. 148</w:t>
      </w:r>
    </w:p>
    <w:p>
      <w:pPr>
        <w:rPr>
          <w:rFonts w:ascii="Century Schoolbook" w:eastAsia="Century Schoolbook" w:hAnsi="Century Schoolbook" w:cs="Century Schoolbook"/>
        </w:rPr>
      </w:pP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hAnsi="Century Schoolbook" w:eastAsia="Century Schoolbook" w:cs="Century Schoolbook"/>
          <w:color w:val="333333"/>
          <w:sz w:val="30"/>
        </w:rPr>
        <w:t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hAnsi="Century Schoolbook" w:eastAsia="Century Schoolbook" w:cs="Century Schoolbook"/>
          <w:color w:val="333333"/>
          <w:sz w:val="30"/>
        </w:rPr>
        <w:t>MARCH 00, 2026</w:t>
      </w:r>
    </w:p>
    <w:p>
      <w:pPr>
        <w:rPr>
          <w:rFonts w:ascii="Century Schoolbook" w:eastAsia="Century Schoolbook" w:hAnsi="Century Schoolbook" w:cs="Century Schoolbook"/>
        </w:rPr>
      </w:pP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hAnsi="Century Schoolbook" w:eastAsia="Century Schoolbook" w:cs="Century Schoolbook"/>
          <w:color w:val="333333"/>
          <w:sz w:val="60"/>
        </w:rPr>
        <w:t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hAnsi="Times New Roman" w:eastAsia="Times New Roman" w:cs="Times New Roman"/>
          <w:color w:val="333333"/>
          <w:sz w:val="28"/>
        </w:rPr>
        <w:t>о внесении изменений в действующий закон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960" w:hanging="48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33333"/>
          <w:sz w:val="24"/>
        </w:rPr>
        <w:t>SECTION 1.</w:t>
      </w:r>
      <w:r>
        <w:rPr>
          <w:rFonts w:ascii="Times New Roman" w:hAnsi="Times New Roman" w:eastAsia="Times New Roman" w:cs="Times New Roman"/>
          <w:color w:val="333333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333333"/>
          <w:sz w:val="24"/>
        </w:rPr>
        <w:t>СУТЬ ПРАВКИ.</w:t>
      </w:r>
    </w:p>
    <w:p>
      <w:pPr>
        <w:spacing w:after="300"/>
        <w:ind w:left="960" w:hanging="48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33333"/>
          <w:sz w:val="24"/>
        </w:rPr>
        <w:t>В Трудовой кодекс штата San-Andreas вносятся изменения, устраняющие коллизии с Процессуальным кодексом и иными законами штата. Статья 5 ч. 3 дополнена исключением: вопросы задержания, увольнения и иных мер процессуального принуждения регулируются Процессуальным кодексом. Статья 21.1 приведена в единую редакцию: дублирующий второй вариант нормы (ч. 3–5 и примечание) исключён, решение о внесении в «Чёрный список» принимается исключительно по подтверждённым основаниям (исключено «на своё усмотрение»). Статья 32 «Дисциплинарные взыскания»: исключены основания снятия взыскания через «добровольное пожертвование» и «иной компенсационной инициативы» (снятие — при компенсации вреда или выполнении работ в счёт возмещения); единый срок хранения материалов проверки — 72 часов, введено правило неразрушения материалов на время производства.</w:t>
      </w:r>
    </w:p>
    <w:p>
      <w:pPr>
        <w:spacing w:after="300"/>
        <w:ind w:firstLine="4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33333"/>
          <w:sz w:val="24"/>
        </w:rPr>
        <w:t>SECTION. 2. ВНЕСЕНИЕ ПРАВКИ В Трудовой кодекс штата San-Andreas</w:t>
      </w:r>
    </w:p>
    <w:p>
      <w:pPr>
        <w:spacing w:after="30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</w:p>
    <w:tbl>
      <w:tblPr>
        <w:tblStyle w:val="a5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A038B7" w14:paraId="36DF0F85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A0BE5" w14:textId="77777777" w:rsidR="00A038B7" w:rsidRDefault="008916D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6FFC6" w14:textId="77777777" w:rsidR="00A038B7" w:rsidRDefault="008916D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5. Трудовое законодательство и иные акты, содержащие нормы трудового права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 Регулирование трудовых отношений и иных непосредственно связанных с ними отношений в соответствии с Конституцией Штата San-Andreas и законодательством Штата San-Andreas осуществляется: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а) трудовым законодательством (включая законодательство об охране труда), состоящим из настоящего Кодекса, и иных законов, содержащих нормы трудового права;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б) иными нормативными правовыми актами, содержащими нормы трудового права: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в) указами Глав департаментов Штата San-Andreas;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г) постановлениями Правительства Штата San-Andreas;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2 Трудовые отношения и иные непосредственно связанные с ними отношения регулируются также договорами, соглашениями и локальными нормативными актами (уставами организаций или предприятий), содержащими нормы трудового права.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ч. 3 Нормы трудового права, содержащиеся в иных законах, должны соответствовать настоящему Кодексу.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В случае противоречий между настоящим Кодексом и иными нормативными и правовыми актами, содержащим нормы трудового права, применяется настоящий Кодекс.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5. Трудовое законодательство и иные акты, содержащие нормы трудового права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 Регулирование трудовых отношений и иных непосредственно связанных с ними отношений в соответствии с Конституцией Штата San-Andreas и законодательством Штата San-Andreas осуществляется: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а) трудовым законодательством (включая законодательство об охране труда), состоящим из настоящего Кодекса, и иных законов, содержащих нормы трудового права;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б) иными нормативными правовыми актами, содержащими нормы трудового права: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в) указами Глав департаментов Штата San-Andreas;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г) постановлениями Правительства Штата San-Andreas;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2 Трудовые отношения и иные непосредственно связанные с ними отношения регулируются также договорами, соглашениями и локальными нормативными актами (уставами организаций или предприятий), содержащими нормы трудового права.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3 Нормы трудового права, содержащиеся в иных законах, должны соответствовать настоящему Кодексу. В случае противоречий между настоящим Кодексом и иными нормативными и правовыми актами, содержащим нормы трудового права, применяется настоящий Кодекс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, за исключением вопросов задержания, увольнения и иных мер процессуального принуждения, которые регулируются Процессуальным кодексом штата San-Andreas</w:t>
            </w:r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21.1 Перечень нежелательных лиц государственных органах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 Каждый государственный орган вправе вести собственный перечень нежелательных лиц (Чёрный список, ЧС).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2. Вносить лиц в Чёрный список вправе: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а) Главы государственных органов;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б) Заместители глав государственных органов;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в) Главы департаментов государственных органов;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г) Заместители глав департаментов государственных органов;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д) Органы государственного надзора;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е) Иные лица указанные уставом организации.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3. Внесение лица в Чёрный список допускается в следующих случаях: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а) подтвержденного факта нарушения лицом законодательства штата San-Andreas;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б) участия лица в экстремистских и иных незаконных формированиях;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в) непрохождение стажировки в государственном органе.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ч. 4. Главы государственных органов, заместители глав государственных органов, главы департаментов государственных органов, заместители глав департаментов государственных органов, иные лица указанные уставом организации, а также органы государственного надзора принимают решение о внесении лиц в Чёрный список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на своё усмотрение.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5. Лицо, внесённое в Чёрный список конкретного государственного органа/департамента, не имеет права работать в этом государственном органе/департаменте. Запрет на трудоустройство действует исключительно в пределах государственного органа/департамента, внёсшего лицо в Чёрный список.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6. Выносить лиц из Чёрного списка вправе: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а) Главы государственных органов;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б) Заместители глав государственных органов;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в) Главы департаментов государственных органов;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г) Заместители глав департаментов государственных органов;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д) Органы государственного надзора;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е) Иные лица указанные уставом организации.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Примечание: Лицо может быть исключено из Чёрного списка также в случаях, если внесение было обжаловано либо отменено в установленном законодательством порядке.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ч. 3 Главы государственных органов, а также органы государственного надзора на свое усмотрение принимают решение о внесении лиц в Перечень.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ч. 4 Лица, внесенные в Перечень, не имеют право работать в государственных органах.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ч. 5 Органы государственного надзора вправе выносить лиц из Перечня на свое усмотрение, при наличии веских оснований полагать, что лицо исправилось и раскаивается в содеянном.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 xml:space="preserve">Примечание: Лица могут быть вынесены из Перечня в случаях, если данное внесение было обжаловано либо отменено в установленном Законодательством порядке. 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21.1 Перечень нежелательных лиц государственных органах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 Каждый государственный орган вправе вести собственный перечень нежелательных лиц (Чёрный список, ЧС).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2. Вносить лиц в Чёрный список вправе: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а) Главы государственных органов;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б) Заместители глав государственных органов;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в) Главы департаментов государственных органов;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г) Заместители глав департаментов государственных органов;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д) Органы государственного надзора;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е) Иные лица указанные уставом организации.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3. Внесение лица в Чёрный список допускается в следующих случаях: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а) подтвержденного факта нарушения лицом законодательства штата San-Andreas;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б) участия лица в экстремистских и иных незаконных формированиях;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в) непрохождение стажировки в государственном органе.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ч. 4. Главы государственных органов, заместители глав государственных органов, главы департаментов государственных органов, заместители глав департаментов государственных органов, иные лица указанные уставом организации, а также органы государственного надзора принимают решение о внесении лиц в Чёрный список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исключительно по основаниям, предусмотренным частью 3 настоящей статьи</w:t>
            </w:r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5. Лицо, внесённое в Чёрный список конкретного государственного органа/департамента, не имеет права работать в этом государственном органе/департаменте. Запрет на трудоустройство действует исключительно в пределах государственного органа/департамента, внёсшего лицо в Чёрный список.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6. Выносить лиц из Чёрного списка вправе: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а) Главы государственных органов;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б) Заместители глав государственных органов;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в) Главы департаментов государственных органов;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г) Заместители глав департаментов государственных органов;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д) Органы государственного надзора;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е) Иные лица указанные уставом организации.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Примечание: Лицо может быть исключено из Чёрного списка также в случаях, если внесение было обжаловано либо отменено в установленном законодательством порядке.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32. Дисциплинарные взыскания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 За совершение дисциплинарного проступка, то есть за неисполнение или недолжное исполнение работником своих трудовых обязанностей, или нарушений внутреннего нормативного акта (устава), работодатель имеет право применить следующие дисциплинарные взыскания: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а) выговор;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б) строгий выговор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в) понижение в должности;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г) увольнение.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2 Работник с неснятым дисциплинарным взысканием не может быть повышен в должности либо поощрен премией.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3 Если со дня получения дисциплинарного взыскания прошло 3 дня, в течение которой работник хорошо проявлял себя и не получил нового дисциплинарного взыскания, то работодатель вправе снять дисциплинарное взыскание с работника.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4 Частные и государственные организации вправе назначать и отменять особые дисциплинарные взыскания, в соответствии с внутренними нормативными актами.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Снятие дисциплинарного взыскания допускается при наличии восстановительных или компенсирующих действий со стороны работника, включая, но не ограничиваясь: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– устранением последствий нарушения;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– предоставлением организации материального возмещения, оборудования, ресурсов;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– добровольным пожертвованием в пользу организации;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– выполнением иной компенсационной инициативы, одобренной руководством.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Примечание: Все случаи снятия взысканий по основаниям, связанным с имущественным или материальным вкладом работника, должны оформляться документально и соответствовать внутреннему порядку, утвержденному в организации.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ч. 5 Лица, осуществляющие дисциплинарное производство в ходе которого было назначено дисциплинарное наказание обязаны в течение 48 часов с окончания такового иметь доказательства, которые послужили основанием для применения ими санкций.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Примечание: В случае уведомления Судом или Офисом генерального прокурора штата San-Andreas лица, назначившего наказание, о необходимости продления сроков хранения доказательств, указанных в ч. 5 ст. 32 настоящего кодекса, такое лицо обязуется хранить необходимые данные до дальнейшего уведомления.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32. Дисциплинарные взыскания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 За совершение дисциплинарного проступка, то есть за неисполнение или недолжное исполнение работником своих трудовых обязанностей, или нарушений внутреннего нормативного акта (устава), работодатель имеет право применить следующие дисциплинарные взыскания: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а) выговор;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б) строгий выговор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в) понижение в должности;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г) увольнение.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2 Работник с неснятым дисциплинарным взысканием не может быть повышен в должности либо поощрен премией.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3 Если со дня получения дисциплинарного взыскания прошло 3 дня, в течение которой работник хорошо проявлял себя и не получил нового дисциплинарного взыскания, то работодатель вправе снять дисциплинарное взыскание с работника.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4 Частные и государственные организации вправе назначать и отменять особые дисциплинарные взыскания, в соответствии с внутренними нормативными актами.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Снятие дисциплинарного взыскания допускается при наличии восстановительных или компенсирующих действий со стороны работника, включая, но не ограничиваясь: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– устранением последствий нарушения;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– предоставлением организации материального возмещения, оборудования, ресурсов;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– компенсацией причинённого вреда либо выполнением работ (оказанием услуг) в счёт возмещения.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Добровольные взносы и иные денежные перечисления не являются основанием для снятия дисциплинарного взыскания.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Примечание: Все случаи снятия взысканий по основаниям, связанным с имущественным или материальным вкладом работника, должны оформляться документально и соответствовать внутреннему порядку, утвержденному в организации.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ч. 5 Лица, осуществляющие дисциплинарное производство в ходе которого было назначено дисциплинарное наказание обязаны в течение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72 часов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с окончания такового иметь доказательства, которые послужили основанием для применения ими санкций.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Материалы хранятся в течение 72 часов.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Примечание: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Государственный служащий не вправе уничтожать, изменять или удалять материалы, касающиеся проверяемого события, на протяжении всего периода производства — со дня получения претензии, обращения в Офис Генерального прокурора или заявления (статья 33 Процессуального кодекса).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В случае уведомления Судом или Офисом генерального прокурора штата San-Andreas лица, назначившего наказание, о необходимости продления сроков хранения доказательств, указанных в ч. 5 ст. 32 настоящего кодекса, такое лицо обязуется хранить необходимые данные до дальнейшего уведомления.</w:t>
            </w:r>
          </w:p>
        </w:tc>
      </w:tr>
    </w:tbl>
    <w:sectPr w:rsidR="00A038B7"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45452" w14:textId="77777777" w:rsidR="00CD3973" w:rsidRDefault="00CD3973">
      <w:pPr>
        <w:spacing w:line="240" w:lineRule="auto"/>
      </w:pPr>
      <w:r>
        <w:separator/>
      </w:r>
    </w:p>
  </w:endnote>
  <w:endnote w:type="continuationSeparator" w:id="0">
    <w:p w14:paraId="694892D0" w14:textId="77777777" w:rsidR="00CD3973" w:rsidRDefault="00CD39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0E7E737F-7A40-451F-B37D-E179469EA5FE}"/>
    <w:embedBold r:id="rId2" w:fontKey="{98CD7C9E-D131-464E-AA82-6E3F37D023F4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6125E755-F3AB-4FBA-8EFE-86E120334436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6325ABEA-0292-4C8E-86BB-868BD0569FB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E474E786-49E8-4FA6-A262-FB897A2748E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529BF" w14:textId="77777777" w:rsidR="00A038B7" w:rsidRDefault="00CD3973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7EE4291E">
        <v:rect id="_x0000_i1027" style="width:0;height:1.5pt" o:hralign="center" o:hrstd="t" o:hr="t" fillcolor="#a0a0a0" stroked="f"/>
      </w:pict>
    </w:r>
    <w:r w:rsidR="008916D6">
      <w:rPr>
        <w:noProof/>
      </w:rPr>
      <w:drawing>
        <wp:anchor distT="114300" distB="114300" distL="114300" distR="114300" simplePos="0" relativeHeight="251658240" behindDoc="0" locked="0" layoutInCell="1" hidden="0" allowOverlap="1" wp14:anchorId="120A6ED2" wp14:editId="354A18C6">
          <wp:simplePos x="0" y="0"/>
          <wp:positionH relativeFrom="column">
            <wp:posOffset>723900</wp:posOffset>
          </wp:positionH>
          <wp:positionV relativeFrom="paragraph">
            <wp:posOffset>13843551</wp:posOffset>
          </wp:positionV>
          <wp:extent cx="2190638" cy="1206181"/>
          <wp:effectExtent l="40268" t="76673" r="40268" b="76673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5FF8C3C" w14:textId="77777777" w:rsidR="00A038B7" w:rsidRDefault="008916D6"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F378E8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proofErr w:type="spellStart"/>
    <w:r>
      <w:rPr>
        <w:rFonts w:ascii="Century Schoolbook" w:eastAsia="Century Schoolbook" w:hAnsi="Century Schoolbook" w:cs="Century Schoolbook"/>
      </w:rPr>
      <w:t>Attest</w:t>
    </w:r>
    <w:proofErr w:type="spellEnd"/>
    <w:r>
      <w:rPr>
        <w:rFonts w:ascii="Century Schoolbook" w:eastAsia="Century Schoolbook" w:hAnsi="Century Schoolbook" w:cs="Century Schoolbook"/>
      </w:rPr>
      <w:t xml:space="preserve">: Name </w:t>
    </w:r>
    <w:proofErr w:type="spellStart"/>
    <w:r>
      <w:rPr>
        <w:rFonts w:ascii="Century Schoolbook" w:eastAsia="Century Schoolbook" w:hAnsi="Century Schoolbook" w:cs="Century Schoolbook"/>
      </w:rPr>
      <w:t>Surname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DB99F5" w14:textId="77777777" w:rsidR="00CD3973" w:rsidRDefault="00CD3973">
      <w:pPr>
        <w:spacing w:line="240" w:lineRule="auto"/>
      </w:pPr>
      <w:r>
        <w:separator/>
      </w:r>
    </w:p>
  </w:footnote>
  <w:footnote w:type="continuationSeparator" w:id="0">
    <w:p w14:paraId="2FE9386C" w14:textId="77777777" w:rsidR="00CD3973" w:rsidRDefault="00CD397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8B7"/>
    <w:rsid w:val="008916D6"/>
    <w:rsid w:val="00A038B7"/>
    <w:rsid w:val="00CD3973"/>
    <w:rsid w:val="00F378E8"/>
    <w:rsid w:val="00FD5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3120E3"/>
  <w15:docId w15:val="{E7AC449B-6AC4-4740-99F6-5A9DE536B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94D67F-55BE-4A6A-A0FF-FE0705F13E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3</cp:revision>
  <dcterms:created xsi:type="dcterms:W3CDTF">2026-09-25T21:37:00Z</dcterms:created>
  <dcterms:modified xsi:type="dcterms:W3CDTF">2026-09-26T14:03:00Z</dcterms:modified>
</cp:coreProperties>
</file>