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rPr>
          <w:rFonts w:ascii="Century Schoolbook" w:eastAsia="Century Schoolbook" w:hAnsi="Century Schoolbook" w:cs="Century Schoolbook"/>
          <w:b/>
          <w:bCs/>
          <w:color w:val="333333"/>
          <w:sz w:val="74"/>
          <w:szCs w:val="74"/>
        </w:rPr>
      </w:pPr>
      <w:r>
        <w:rPr>
          <w:rFonts w:ascii="Century Schoolbook" w:hAnsi="Century Schoolbook" w:eastAsia="Century Schoolbook" w:cs="Century Schoolbook"/>
          <w:b/>
          <w:color w:val="333333"/>
          <w:sz w:val="74"/>
        </w:rPr>
        <w:t>ACT. 157</w:t>
      </w:r>
    </w:p>
    <w:p>
      <w:pPr>
        <w:rPr>
          <w:rFonts w:ascii="Century Schoolbook" w:eastAsia="Century Schoolbook" w:hAnsi="Century Schoolbook" w:cs="Century Schoolbook"/>
        </w:rPr>
      </w:pPr>
    </w:p>
    <w:p>
      <w:pPr>
        <w:jc w:val="center"/>
        <w:rPr>
          <w:rFonts w:ascii="Century Schoolbook" w:eastAsia="Century Schoolbook" w:hAnsi="Century Schoolbook" w:cs="Century Schoolbook"/>
          <w:color w:val="333333"/>
          <w:sz w:val="30"/>
          <w:szCs w:val="30"/>
          <w:lang w:val="en-US"/>
        </w:rPr>
      </w:pPr>
      <w:r>
        <w:rPr>
          <w:rFonts w:ascii="Century Schoolbook" w:hAnsi="Century Schoolbook" w:eastAsia="Century Schoolbook" w:cs="Century Schoolbook"/>
          <w:color w:val="333333"/>
          <w:sz w:val="30"/>
        </w:rPr>
        <w:t>IN THE SENATE OF THE STATE OF SAN ANDREAS</w:t>
      </w:r>
    </w:p>
    <w:p>
      <w:pPr>
        <w:jc w:val="center"/>
        <w:rPr>
          <w:rFonts w:ascii="Century Schoolbook" w:eastAsia="Century Schoolbook" w:hAnsi="Century Schoolbook" w:cs="Century Schoolbook"/>
          <w:color w:val="333333"/>
          <w:sz w:val="30"/>
          <w:szCs w:val="30"/>
        </w:rPr>
      </w:pPr>
      <w:r>
        <w:rPr>
          <w:rFonts w:ascii="Century Schoolbook" w:hAnsi="Century Schoolbook" w:eastAsia="Century Schoolbook" w:cs="Century Schoolbook"/>
          <w:color w:val="333333"/>
          <w:sz w:val="30"/>
        </w:rPr>
        <w:t>MARCH 00, 2026</w:t>
      </w:r>
    </w:p>
    <w:p>
      <w:pPr>
        <w:rPr>
          <w:rFonts w:ascii="Century Schoolbook" w:eastAsia="Century Schoolbook" w:hAnsi="Century Schoolbook" w:cs="Century Schoolbook"/>
        </w:rPr>
      </w:pPr>
    </w:p>
    <w:p>
      <w:pPr>
        <w:jc w:val="center"/>
        <w:rPr>
          <w:rFonts w:ascii="Century Schoolbook" w:eastAsia="Century Schoolbook" w:hAnsi="Century Schoolbook" w:cs="Century Schoolbook"/>
          <w:color w:val="333333"/>
          <w:sz w:val="60"/>
          <w:szCs w:val="60"/>
        </w:rPr>
      </w:pPr>
      <w:r>
        <w:rPr>
          <w:rFonts w:ascii="Century Schoolbook" w:hAnsi="Century Schoolbook" w:eastAsia="Century Schoolbook" w:cs="Century Schoolbook"/>
          <w:color w:val="333333"/>
          <w:sz w:val="60"/>
        </w:rPr>
        <w:t>ЗАКОНОПРОЕКТ</w:t>
      </w:r>
    </w:p>
    <w:p>
      <w:pPr>
        <w:jc w:val="center"/>
        <w:rPr>
          <w:rFonts w:ascii="Times New Roman" w:eastAsia="Times New Roman" w:hAnsi="Times New Roman" w:cs="Times New Roman"/>
          <w:color w:val="333333"/>
          <w:sz w:val="28"/>
          <w:szCs w:val="28"/>
        </w:rPr>
      </w:pPr>
      <w:r>
        <w:rPr>
          <w:rFonts w:ascii="Times New Roman" w:hAnsi="Times New Roman" w:eastAsia="Times New Roman" w:cs="Times New Roman"/>
          <w:color w:val="333333"/>
          <w:sz w:val="28"/>
        </w:rPr>
        <w:t>о внесении изменений в действующий закон</w:t>
      </w:r>
    </w:p>
    <w:p>
      <w:pPr>
        <w:jc w:val="center"/>
        <w:rPr>
          <w:rFonts w:ascii="Times New Roman" w:eastAsia="Times New Roman" w:hAnsi="Times New Roman" w:cs="Times New Roman"/>
          <w:color w:val="333333"/>
          <w:sz w:val="28"/>
          <w:szCs w:val="28"/>
        </w:rPr>
      </w:pPr>
    </w:p>
    <w:p>
      <w:pPr>
        <w:spacing w:after="300"/>
        <w:ind w:left="960" w:hanging="480"/>
        <w:rPr>
          <w:rFonts w:ascii="Times New Roman" w:eastAsia="Times New Roman" w:hAnsi="Times New Roman" w:cs="Times New Roman"/>
          <w:b/>
          <w:bCs/>
          <w:color w:val="333333"/>
          <w:sz w:val="24"/>
          <w:szCs w:val="24"/>
        </w:rPr>
      </w:pPr>
      <w:r>
        <w:rPr>
          <w:rFonts w:ascii="Times New Roman" w:hAnsi="Times New Roman" w:eastAsia="Times New Roman" w:cs="Times New Roman"/>
          <w:b/>
          <w:color w:val="333333"/>
          <w:sz w:val="24"/>
        </w:rPr>
        <w:t>SECTION 1.</w:t>
      </w:r>
      <w:r>
        <w:rPr>
          <w:rFonts w:ascii="Times New Roman" w:hAnsi="Times New Roman" w:eastAsia="Times New Roman" w:cs="Times New Roman"/>
          <w:color w:val="333333"/>
          <w:sz w:val="24"/>
        </w:rPr>
        <w:t xml:space="preserve"> </w:t>
      </w:r>
      <w:r>
        <w:rPr>
          <w:rFonts w:ascii="Times New Roman" w:hAnsi="Times New Roman" w:eastAsia="Times New Roman" w:cs="Times New Roman"/>
          <w:b/>
          <w:color w:val="333333"/>
          <w:sz w:val="24"/>
        </w:rPr>
        <w:t>СУТЬ ПРАВКИ.</w:t>
      </w:r>
    </w:p>
    <w:p>
      <w:pPr>
        <w:spacing w:after="300"/>
        <w:ind w:left="960" w:hanging="480"/>
        <w:rPr>
          <w:rFonts w:ascii="Times New Roman" w:eastAsia="Times New Roman" w:hAnsi="Times New Roman" w:cs="Times New Roman"/>
          <w:color w:val="333333"/>
          <w:sz w:val="24"/>
          <w:szCs w:val="24"/>
        </w:rPr>
      </w:pPr>
      <w:r>
        <w:rPr>
          <w:rFonts w:ascii="Times New Roman" w:hAnsi="Times New Roman" w:eastAsia="Times New Roman" w:cs="Times New Roman"/>
          <w:b/>
          <w:color w:val="333333"/>
          <w:sz w:val="24"/>
        </w:rPr>
        <w:t>В закон «О деятельности Секретной Службы Соединённых Штатов Америки в штате San-Andreas» вносятся изменения, устраняющие коллизии с законом об обороте оружия, Уголовным кодексом и Процессуальным кодексом. Статья 6 ч. 1: несоблюдение 20-метрового требования само по себе не является основанием для применения оружия; пункт «б.1» (право применять оружие за нарушение дистанции) приведён к общей норме о применении оружия (закон об обороте оружия, ст. 4.1 и 4.2 УК); пункт «з» (беспрепятственное вхождение в жилые помещения) ограничен случаями пресечения правонарушений в компетенции Секретной Службы и непосредственной угрозой жизни охраняемых лиц, с уведомлением прокурора в течение 1 часа; пункт «д» согласован с реальным перечнем объектов. Статья 7 ч. 2: следственные действия — по решению суда или ордеру, в неотложных случаях — по статье 4 Процессуального кодекса с уведомлением прокурора в 1 час. Статья 14 ч. 2: гарантии сотрудников Секретной Службы определены статьёй 19.1 Процессуального кодекса.</w:t>
      </w:r>
    </w:p>
    <w:p>
      <w:pPr>
        <w:spacing w:after="300"/>
        <w:ind w:firstLine="480"/>
        <w:rPr>
          <w:rFonts w:ascii="Times New Roman" w:eastAsia="Times New Roman" w:hAnsi="Times New Roman" w:cs="Times New Roman"/>
          <w:b/>
          <w:bCs/>
          <w:sz w:val="24"/>
          <w:szCs w:val="24"/>
        </w:rPr>
      </w:pPr>
      <w:r>
        <w:rPr>
          <w:rFonts w:ascii="Times New Roman" w:hAnsi="Times New Roman" w:eastAsia="Times New Roman" w:cs="Times New Roman"/>
          <w:b/>
          <w:color w:val="333333"/>
          <w:sz w:val="24"/>
        </w:rPr>
        <w:t>SECTION. 2. ВНЕСЕНИЕ ПРАВКИ В Закон «О деятельности Секретной Службы Соединённых Штатов Америки в штате San-Andreas»</w:t>
      </w:r>
    </w:p>
    <w:p>
      <w:pPr>
        <w:spacing w:after="300"/>
        <w:rPr>
          <w:rFonts w:ascii="Times New Roman" w:eastAsia="Times New Roman" w:hAnsi="Times New Roman" w:cs="Times New Roman"/>
          <w:b/>
          <w:bCs/>
          <w:color w:val="333333"/>
          <w:sz w:val="24"/>
          <w:szCs w:val="24"/>
        </w:rPr>
      </w:pPr>
    </w:p>
    <w:tbl>
      <w:tblPr>
        <w:tblStyle w:val="a5"/>
        <w:tblW w:w="1188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gridCol w:w="5940"/>
      </w:tblGrid>
      <w:tr w:rsidR="00A038B7" w14:paraId="36DF0F85" w14:textId="77777777">
        <w:tc>
          <w:tcPr>
            <w:tcW w:w="5940" w:type="dxa"/>
            <w:shd w:val="clear" w:color="auto" w:fill="auto"/>
            <w:tcMar>
              <w:top w:w="100" w:type="dxa"/>
              <w:left w:w="100" w:type="dxa"/>
              <w:bottom w:w="100" w:type="dxa"/>
              <w:right w:w="100" w:type="dxa"/>
            </w:tcMar>
          </w:tcPr>
          <w:p w14:paraId="15AA0BE5" w14:textId="77777777" w:rsidR="00A038B7" w:rsidRDefault="008916D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настоящая редакция</w:t>
            </w:r>
          </w:p>
        </w:tc>
        <w:tc>
          <w:tcPr>
            <w:tcW w:w="5940" w:type="dxa"/>
            <w:shd w:val="clear" w:color="auto" w:fill="auto"/>
            <w:tcMar>
              <w:top w:w="100" w:type="dxa"/>
              <w:left w:w="100" w:type="dxa"/>
              <w:bottom w:w="100" w:type="dxa"/>
              <w:right w:w="100" w:type="dxa"/>
            </w:tcMar>
          </w:tcPr>
          <w:p w14:paraId="3796FFC6" w14:textId="77777777" w:rsidR="00A038B7" w:rsidRDefault="008916D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предложенный вариант</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6. Права Секретной Службы:</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1 Секретная Служба в целях осуществления своих обязанностей имеют право:</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а) Привлекать силы и средства других силовых структур для организации охранных, следственных и розыскных мероприятий;</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б) Требовать от граждан или сотрудников государственных структур держать дистанцию в 20 метров от объекта защитной миссии;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Примечание: В случае нахождения объекта защитной миссии на территории, находящейся под охраной или режимным контролем государственной силовой структуры, требование, предусмотренное пунктом «б» настоящей части, может быть заменено требованием покинуть помещение, в котором находится объект защитной миссии, либо соблюдать дистанцию не менее 5 метров от него.</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б.1) Применять огнестрельное оружие в отношении лиц, не исполнивших требование о соблюдении дистанции в 20 метров от объекта защитной миссии, предварительно предупредив о применении такового оружия;</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в) Осуществлять личный досмотр и проверку документов, удостоверяющих личность у посетителей правительственных зданий и сооружений, у лиц, находящихся в районе объектов охраны, у лиц, находящихся вблизи от объекта защитной миссии, а также документов на транспортные средства в районе объектов охраны, за исключением лиц, обладающих статусом неприкосновенности, после удостоверения личности;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г) Контролировать пронос на охраняемые объекты Правительства штата San-Andreas;</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д) Определять перечень лиц, которым ограничен доступ на охраняемые объекты, а также определять перечень лиц, которым ограничено нахождение на неохраняемых объектах, территориях, помещениях, вверенных Правительству штата San-Andreas, а также мэрий города Лос-Сантос и округа Блэйн;</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е) Задерживать и доставлять в служебное помещение служебных участков правоохранительных органов или в иное служебное помещение лиц, подозреваемых в совершении правонарушений;</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ж) Использовать на безвозмездной основе: аэропорты, аэродромы, вертодромы, посадочные площадки, морские, речные порты независимо от их форм собственности; здания и территории государственных структур, а также получать на безвозмездной основе обеспечение полетов и судовождения;</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з) Беспрепятственно входить в жилые и иные принадлежащие гражданам помещения и на принадлежащие им земельные участки, на территории и в помещения организаций при пресечении правонарушений, а также в целях обеспечения безопасности охраняемых лиц;</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Примечание: о всех случаях вхождения в жилые и иные помещения против воли проживающих в них граждан Секретная Служба уведомляет Генерального прокурора в течение 24 часов.</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и) Принимать при необходимости меры по временному ограничению или запрещению движения транспортных средств и пешеходов на трассах проезда (передвижения) объектов государственной охраны;</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к) 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Секретную Службу обязанностей, за исключением случаев, когда законами установлен запрет на передачу такой информации Секретной Службе. Государственные органы, предприятия, учреждения и организации независимо от форм собственности обязаны предоставить требуемую информацию;</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Исключение: ФРБ. Информация может предоставляться только с одобрения Генерального прокурора.</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л) Обмениваться со специальными службами и с правоохранительными органами в пределах своих полномочий оперативной информацией, специальными техническими и иными средствами;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м) Глава Департамента Национальной Безопасности, Директор Секретной Службы или Генеральный прокурор вправе по письменному указу запретить отдельным лицам, представляющим угрозу для безопасности объектов охраны, посещение территорий правительственных зданий и сооружений.</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н) Вызывать граждан для допроса, дачи показаний, объяснений и других процессуальных действий в рамках действующего законодательства;</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6. Права Секретной Службы:</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1 Секретная Служба в целях осуществления своих обязанностей имеют право:</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а) Привлекать силы и средства других силовых структур для организации охранных, следственных и розыскных мероприятий;</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б) Требовать от граждан или сотрудников государственных структур держать дистанцию в 20 метров от объекта защитной миссии</w:t>
            </w:r>
            <w:r>
              <w:rPr>
                <w:rFonts w:ascii="Times New Roman" w:hAnsi="Times New Roman" w:eastAsia="Times New Roman" w:cs="Times New Roman"/>
                <w:sz w:val="24"/>
                <w:shd w:val="clear" w:color="auto" w:fill="D9EAD3"/>
              </w:rPr>
              <w:t>; несоблюдение данного требования само по себе не является основанием для применения оружия</w:t>
            </w:r>
            <w:r>
              <w:rPr>
                <w:rFonts w:ascii="Times New Roman" w:hAnsi="Times New Roman" w:eastAsia="Times New Roman" w:cs="Times New Roman"/>
                <w:sz w:val="24"/>
              </w:rPr>
              <w:t>;</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Примечание: В случае нахождения объекта защитной миссии на территории, находящейся под охраной или режимным контролем государственной силовой структуры, требование, предусмотренное пунктом «б» настоящей части, может быть заменено требованием покинуть помещение, в котором находится объект защитной миссии, либо соблюдать дистанцию не менее 5 метров от него.</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б.1) применение огнестрельного оружия осуществляется на основаниях, предусмотренных законом «О регулировании оборота оружия, боеприпасов и специальных средств в штате San-Andreas» и статьями 4.1 и 4.2 Уголовного кодекса штата San-Andreas;</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в) Осуществлять личный досмотр и проверку документов, удостоверяющих личность у посетителей правительственных зданий и сооружений, у лиц, находящихся в районе объектов охраны, у лиц, находящихся вблизи от объекта защитной миссии, а также документов на транспортные средства в районе объектов охраны, за исключением лиц, обладающих статусом неприкосновенности, после удостоверения личности;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г) Контролировать пронос на охраняемые объекты Правительства штата San-Andreas;</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д) Определять перечень лиц, которым ограничен доступ на охраняемые объекты, а также определять перечень лиц, которым ограничено нахождение на неохраняемых объектах, территориях, помещениях, вверенных Правительству штата San-Andreas, </w:t>
            </w:r>
            <w:r>
              <w:rPr>
                <w:rFonts w:ascii="Times New Roman" w:hAnsi="Times New Roman" w:eastAsia="Times New Roman" w:cs="Times New Roman"/>
                <w:sz w:val="24"/>
                <w:shd w:val="clear" w:color="auto" w:fill="D9EAD3"/>
              </w:rPr>
              <w:t>а также административным зданиям Правительства штата San-Andreas;</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е) Задерживать и доставлять в служебное помещение служебных участков правоохранительных органов или в иное служебное помещение лиц, подозреваемых в совершении правонарушений;</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ж) Использовать на безвозмездной основе: аэропорты, аэродромы, вертодромы, посадочные площадки, морские, речные порты независимо от их форм собственности; здания и территории государственных структур, а также получать на безвозмездной основе обеспечение полетов и судовождения;</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з) Беспрепятственно входить в жилые и иные принадлежащие гражданам помещения и на принадлежащие им земельные участки, на территории и в помещения организаций при пресечении правонарушений в компетенции Секретной Службы, а также при непосредственной угрозе жизни охраняемых лиц;</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Примечание: о всех случаях вхождения в жилые и иные помещения против воли проживающих в них граждан Секретная Служба уведомляет Генерального прокурора </w:t>
            </w:r>
            <w:r>
              <w:rPr>
                <w:rFonts w:ascii="Times New Roman" w:hAnsi="Times New Roman" w:eastAsia="Times New Roman" w:cs="Times New Roman"/>
                <w:sz w:val="24"/>
                <w:shd w:val="clear" w:color="auto" w:fill="D9EAD3"/>
              </w:rPr>
              <w:t>в течение 1 часа</w:t>
            </w:r>
            <w:r>
              <w:rPr>
                <w:rFonts w:ascii="Times New Roman" w:hAnsi="Times New Roman" w:eastAsia="Times New Roman" w:cs="Times New Roman"/>
                <w:sz w:val="24"/>
              </w:rPr>
              <w:t>.</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и) Принимать при необходимости меры по временному ограничению или запрещению движения транспортных средств и пешеходов на трассах проезда (передвижения) объектов государственной охраны;</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к) 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Секретную Службу обязанностей, за исключением случаев, когда законами установлен запрет на передачу такой информации Секретной Службе. Государственные органы, предприятия, учреждения и организации независимо от форм собственности обязаны предоставить требуемую информацию;</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Исключение: ФРБ. Информация может предоставляться только с одобрения Генерального прокурора.</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л) Обмениваться со специальными службами и с правоохранительными органами в пределах своих полномочий оперативной информацией, специальными техническими и иными средствами;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м) Глава Департамента Национальной Безопасности, Директор Секретной Службы или Генеральный прокурор вправе по письменному указу запретить отдельным лицам, представляющим угрозу для безопасности объектов охраны, посещение территорий правительственных зданий и сооружений.</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н) Вызывать граждан для допроса, дачи показаний, объяснений и других процессуальных действий в рамках действующего законодательства;</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7. Обязанности Секретной Службы</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1 Секретная Служба обязана:</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а) Выявлять, предупреждать и пресекать преступные и иные противоправные посягательства;</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б) Обеспечивать в необходимых случаях сопровождение транспортных средств, в которых следуют объекты защитной миссии;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в) Поддерживать общественный порядок как в целом, так и необходимый для обеспечения безопасности объектов защитной миссии;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г) Осуществлять диагностику, эвакуацию и уничтожение материальных предметов, вызывающих подозрение в принадлежности к взрывчатым веществам и диверсионно-террористическим средствам или устройствам для несанкционированного доступа к информации;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д) Расследовать и пресекать деятельность лиц, подрывающих государственный строй, а также попытки утечки засекреченной информации;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е) Проводить независимые следственные действия по правонарушениям в сфере экономики, в области финансов, налогов и сборов, правонарушениям, связанным с противоправным посягательством на объект защитной миссии, преступлениями против государственной власти и должностным правонарушениям;</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ж) Обеспечивать собственную безопасность;</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з) Осуществлять внешние связи со специальными службами и правоохранительными органами для сбора и анализа информации.</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ч. 2 В рамках указанных в ч. 1 ст. 7 настоящего Закона государственных охранных задач Секретная Служба имеет право производить проверку документов, личный обыск и обыск жилых и нежилых помещений и автотранспортных средств, поиск подозреваемых, их задержание и другие следственные действия при возникновении угрозы или подозрении на ее возникновение в отношении лиц и объектов, охраняемых Секретной Службой штата San-Andreas.</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7. Обязанности Секретной Службы</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1 Секретная Служба обязана:</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а) Выявлять, предупреждать и пресекать преступные и иные противоправные посягательства;</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б) Обеспечивать в необходимых случаях сопровождение транспортных средств, в которых следуют объекты защитной миссии;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в) Поддерживать общественный порядок как в целом, так и необходимый для обеспечения безопасности объектов защитной миссии;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г) Осуществлять диагностику, эвакуацию и уничтожение материальных предметов, вызывающих подозрение в принадлежности к взрывчатым веществам и диверсионно-террористическим средствам или устройствам для несанкционированного доступа к информации;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д) Расследовать и пресекать деятельность лиц, подрывающих государственный строй, а также попытки утечки засекреченной информации;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е) Проводить независимые следственные действия по правонарушениям в сфере экономики, в области финансов, налогов и сборов, правонарушениям, связанным с противоправным посягательством на объект защитной миссии, преступлениями против государственной власти и должностным правонарушениям;</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ж) Обеспечивать собственную безопасность;</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з) Осуществлять внешние связи со специальными службами и правоохранительными органами для сбора и анализа информации.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2 </w:t>
            </w:r>
            <w:r>
              <w:rPr>
                <w:rFonts w:ascii="Times New Roman" w:hAnsi="Times New Roman" w:eastAsia="Times New Roman" w:cs="Times New Roman"/>
                <w:sz w:val="24"/>
                <w:shd w:val="clear" w:color="auto" w:fill="D9EAD3"/>
              </w:rPr>
              <w:t>В рамках указанных в ч. 1 ст. 7 настоящего Закона государственных охранных задач Секретная Служба имеет право производить проверку документов, личный обыск и обыск жилых и нежилых помещений и автотранспортных средств — на основании судебного решения или ордера, а в неотложных случаях — в порядке части 2 статьи 4 Процессуального кодекса штата San-Andreas с уведомлением прокурора в течение 1 часа, поиск подозреваемых, их задержание и другие следственные действия при возникновении угрозы или подозрении на ее возникновение в отношении лиц и объектов, охраняемых Секретной Службой штата San-Andreas.</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14. Правовая защита</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1 Сотрудники Секретной Службы при исполнении ими служебных обязанностей являются представителями власти и находятся под защитой государства. Законные требования сотрудников Секретной Службы обязательны для исполнения гражданами и должностными лицами.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ч. 2 При исполнении сотрудником Секретной Службы США служебных обязанностей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Секретной Службы США несут непосредственную угрозу жизни окружающим людям, а также при наличии ордера правомочного лица, решения суда, или в случае совершения ими преступления.</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3 Государственная защита жизни и здоровья, чести и достоинства сотрудника Секретной Службы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4 Меры государственной защиты применяются также в отношении близких родственников сотрудника Секретной Службы,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Секретной Службы либо принуждения к изменению ее характера, а также из мести за указанную деятельность.</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14. Правовая защита</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1 Сотрудники Секретной Службы при исполнении ими служебных обязанностей являются представителями власти и находятся под защитой государства. Законные требования сотрудников Секретной Службы обязательны для исполнения гражданами и должностными лицами.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2 </w:t>
            </w:r>
            <w:r>
              <w:rPr>
                <w:rFonts w:ascii="Times New Roman" w:hAnsi="Times New Roman" w:eastAsia="Times New Roman" w:cs="Times New Roman"/>
                <w:sz w:val="24"/>
                <w:shd w:val="clear" w:color="auto" w:fill="D9EAD3"/>
              </w:rPr>
              <w:t>Правовая защита сотрудника Секретной Службы при исполнении служебных обязанностей определяется статьёй 19.1 Процессуального кодекса штата San-Andreas и также настоящей статьёй.</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3 Государственная защита жизни и здоровья, чести и достоинства сотрудника Секретной Службы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4 Меры государственной защиты применяются также в отношении близких родственников сотрудника Секретной Службы,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Секретной Службы либо принуждения к изменению ее характера, а также из мести за указанную деятельность.</w:t>
            </w:r>
          </w:p>
        </w:tc>
      </w:tr>
    </w:tbl>
    <w:sectPr w:rsidR="00A038B7">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45452" w14:textId="77777777" w:rsidR="00CD3973" w:rsidRDefault="00CD3973">
      <w:pPr>
        <w:spacing w:line="240" w:lineRule="auto"/>
      </w:pPr>
      <w:r>
        <w:separator/>
      </w:r>
    </w:p>
  </w:endnote>
  <w:endnote w:type="continuationSeparator" w:id="0">
    <w:p w14:paraId="694892D0" w14:textId="77777777" w:rsidR="00CD3973" w:rsidRDefault="00CD39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entury Schoolbook">
    <w:panose1 w:val="02040604050505020304"/>
    <w:charset w:val="CC"/>
    <w:family w:val="roman"/>
    <w:pitch w:val="variable"/>
    <w:sig w:usb0="00000287" w:usb1="00000000" w:usb2="00000000" w:usb3="00000000" w:csb0="0000009F" w:csb1="00000000"/>
    <w:embedRegular r:id="rId1" w:fontKey="{0E7E737F-7A40-451F-B37D-E179469EA5FE}"/>
    <w:embedBold r:id="rId2" w:fontKey="{98CD7C9E-D131-464E-AA82-6E3F37D023F4}"/>
  </w:font>
  <w:font w:name="Book Antiqua">
    <w:panose1 w:val="02040602050305030304"/>
    <w:charset w:val="CC"/>
    <w:family w:val="roman"/>
    <w:pitch w:val="variable"/>
    <w:sig w:usb0="00000287" w:usb1="00000000" w:usb2="00000000" w:usb3="00000000" w:csb0="0000009F" w:csb1="00000000"/>
    <w:embedRegular r:id="rId3" w:fontKey="{6125E755-F3AB-4FBA-8EFE-86E120334436}"/>
  </w:font>
  <w:font w:name="Calibri">
    <w:panose1 w:val="020F0502020204030204"/>
    <w:charset w:val="CC"/>
    <w:family w:val="swiss"/>
    <w:pitch w:val="variable"/>
    <w:sig w:usb0="E4002EFF" w:usb1="C000247B" w:usb2="00000009" w:usb3="00000000" w:csb0="000001FF" w:csb1="00000000"/>
    <w:embedRegular r:id="rId4" w:fontKey="{6325ABEA-0292-4C8E-86BB-868BD0569FB3}"/>
  </w:font>
  <w:font w:name="Cambria">
    <w:panose1 w:val="02040503050406030204"/>
    <w:charset w:val="CC"/>
    <w:family w:val="roman"/>
    <w:pitch w:val="variable"/>
    <w:sig w:usb0="E00006FF" w:usb1="420024FF" w:usb2="02000000" w:usb3="00000000" w:csb0="0000019F" w:csb1="00000000"/>
    <w:embedRegular r:id="rId5" w:fontKey="{E474E786-49E8-4FA6-A262-FB897A2748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529BF" w14:textId="77777777" w:rsidR="00A038B7" w:rsidRDefault="00CD39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240" w:lineRule="auto"/>
      <w:rPr>
        <w:rFonts w:ascii="Book Antiqua" w:eastAsia="Book Antiqua" w:hAnsi="Book Antiqua" w:cs="Book Antiqua"/>
        <w:sz w:val="16"/>
        <w:szCs w:val="16"/>
      </w:rPr>
    </w:pPr>
    <w:r>
      <w:pict w14:anchorId="7EE4291E">
        <v:rect id="_x0000_i1027" style="width:0;height:1.5pt" o:hralign="center" o:hrstd="t" o:hr="t" fillcolor="#a0a0a0" stroked="f"/>
      </w:pict>
    </w:r>
    <w:r w:rsidR="008916D6">
      <w:rPr>
        <w:noProof/>
      </w:rPr>
      <w:drawing>
        <wp:anchor distT="114300" distB="114300" distL="114300" distR="114300" simplePos="0" relativeHeight="251658240" behindDoc="0" locked="0" layoutInCell="1" hidden="0" allowOverlap="1" wp14:anchorId="120A6ED2" wp14:editId="354A18C6">
          <wp:simplePos x="0" y="0"/>
          <wp:positionH relativeFrom="column">
            <wp:posOffset>723900</wp:posOffset>
          </wp:positionH>
          <wp:positionV relativeFrom="paragraph">
            <wp:posOffset>13843551</wp:posOffset>
          </wp:positionV>
          <wp:extent cx="2190638" cy="1206181"/>
          <wp:effectExtent l="40268" t="76673" r="40268" b="76673"/>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21354312">
                    <a:off x="0" y="0"/>
                    <a:ext cx="2190638" cy="1206181"/>
                  </a:xfrm>
                  <a:prstGeom prst="rect">
                    <a:avLst/>
                  </a:prstGeom>
                  <a:ln/>
                </pic:spPr>
              </pic:pic>
            </a:graphicData>
          </a:graphic>
        </wp:anchor>
      </w:drawing>
    </w:r>
  </w:p>
  <w:p w14:paraId="15FF8C3C" w14:textId="77777777" w:rsidR="00A038B7" w:rsidRDefault="008916D6">
    <w:r>
      <w:rPr>
        <w:rFonts w:ascii="Century Schoolbook" w:eastAsia="Century Schoolbook" w:hAnsi="Century Schoolbook" w:cs="Century Schoolbook"/>
      </w:rPr>
      <w:t xml:space="preserve">Page </w:t>
    </w:r>
    <w:r>
      <w:fldChar w:fldCharType="begin"/>
    </w:r>
    <w:r>
      <w:instrText>PAGE</w:instrText>
    </w:r>
    <w:r>
      <w:fldChar w:fldCharType="separate"/>
    </w:r>
    <w:r w:rsidR="00F378E8">
      <w:rPr>
        <w:noProof/>
      </w:rPr>
      <w:t>1</w:t>
    </w:r>
    <w:r>
      <w:fldChar w:fldCharType="end"/>
    </w:r>
    <w:r>
      <w:rPr>
        <w:rFonts w:ascii="Century Schoolbook" w:eastAsia="Century Schoolbook" w:hAnsi="Century Schoolbook" w:cs="Century Schoolbook"/>
      </w:rPr>
      <w:t>.</w:t>
    </w:r>
    <w:r>
      <w:rPr>
        <w:rFonts w:ascii="Century Schoolbook" w:eastAsia="Century Schoolbook" w:hAnsi="Century Schoolbook" w:cs="Century Schoolbook"/>
      </w:rPr>
      <w:tab/>
    </w:r>
    <w:r>
      <w:rPr>
        <w:rFonts w:ascii="Century Schoolbook" w:eastAsia="Century Schoolbook" w:hAnsi="Century Schoolbook" w:cs="Century Schoolbook"/>
      </w:rPr>
      <w:tab/>
      <w:t xml:space="preserve"> </w:t>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proofErr w:type="spellStart"/>
    <w:r>
      <w:rPr>
        <w:rFonts w:ascii="Century Schoolbook" w:eastAsia="Century Schoolbook" w:hAnsi="Century Schoolbook" w:cs="Century Schoolbook"/>
      </w:rPr>
      <w:t>Attest</w:t>
    </w:r>
    <w:proofErr w:type="spellEnd"/>
    <w:r>
      <w:rPr>
        <w:rFonts w:ascii="Century Schoolbook" w:eastAsia="Century Schoolbook" w:hAnsi="Century Schoolbook" w:cs="Century Schoolbook"/>
      </w:rPr>
      <w:t xml:space="preserve">: Name </w:t>
    </w:r>
    <w:proofErr w:type="spellStart"/>
    <w:r>
      <w:rPr>
        <w:rFonts w:ascii="Century Schoolbook" w:eastAsia="Century Schoolbook" w:hAnsi="Century Schoolbook" w:cs="Century Schoolbook"/>
      </w:rPr>
      <w:t>Surname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B99F5" w14:textId="77777777" w:rsidR="00CD3973" w:rsidRDefault="00CD3973">
      <w:pPr>
        <w:spacing w:line="240" w:lineRule="auto"/>
      </w:pPr>
      <w:r>
        <w:separator/>
      </w:r>
    </w:p>
  </w:footnote>
  <w:footnote w:type="continuationSeparator" w:id="0">
    <w:p w14:paraId="2FE9386C" w14:textId="77777777" w:rsidR="00CD3973" w:rsidRDefault="00CD397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8B7"/>
    <w:rsid w:val="008916D6"/>
    <w:rsid w:val="00A038B7"/>
    <w:rsid w:val="00CD3973"/>
    <w:rsid w:val="00F378E8"/>
    <w:rsid w:val="00FD53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3120E3"/>
  <w15:docId w15:val="{E7AC449B-6AC4-4740-99F6-5A9DE536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4D67F-55BE-4A6A-A0FF-FE0705F13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Даниил Нечаев</cp:lastModifiedBy>
  <cp:revision>3</cp:revision>
  <dcterms:created xsi:type="dcterms:W3CDTF">2026-09-25T21:37:00Z</dcterms:created>
  <dcterms:modified xsi:type="dcterms:W3CDTF">2026-09-26T14:03:00Z</dcterms:modified>
</cp:coreProperties>
</file>