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Playfair Display" w:cs="Playfair Display" w:eastAsia="Playfair Display" w:hAnsi="Playfair Display"/>
          <w:b/>
          <w:bCs/>
          <w:color w:val="0063B0"/>
          <w:sz w:val="36"/>
          <w:szCs w:val="36"/>
        </w:rPr>
        <w:t xml:space="preserve">A.G. WILLIAMS PAINTING COMPANY</w:t>
      </w:r>
    </w:p>
    <w:p>
      <w:pPr>
        <w:spacing w:after="40" w:before="0"/>
      </w:pPr>
      <w:r>
        <w:rPr>
          <w:rFonts w:ascii="Poppins" w:cs="Poppins" w:eastAsia="Poppins" w:hAnsi="Poppins"/>
          <w:color w:val="555555"/>
          <w:sz w:val="22"/>
          <w:szCs w:val="22"/>
        </w:rPr>
        <w:t xml:space="preserve">Brand &amp; Website Guidelines — Developer Reference</w:t>
      </w:r>
    </w:p>
    <w:p>
      <w:pPr>
        <w:spacing w:after="0" w:before="0"/>
      </w:pPr>
      <w:r>
        <w:rPr>
          <w:rFonts w:ascii="Poppins" w:cs="Poppins" w:eastAsia="Poppins" w:hAnsi="Poppins"/>
          <w:color w:val="888888"/>
          <w:sz w:val="18"/>
          <w:szCs w:val="18"/>
        </w:rPr>
        <w:t xml:space="preserve">EST. 1906  ·  Family Owned  ·  Premium Painting &amp; Coatings</w:t>
      </w:r>
    </w:p>
    <w:p>
      <w:pPr>
        <w:pBdr>
          <w:bottom w:val="single" w:color="0063B0" w:sz="12" w:space="1"/>
        </w:pBd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3B0" w:sz="8"/>
              <w:left w:val="single" w:color="0063B0" w:sz="8"/>
              <w:bottom w:val="single" w:color="0063B0" w:sz="8"/>
              <w:right w:val="single" w:color="0063B0" w:sz="8"/>
            </w:tcBorders>
            <w:shd w:fill="EDF4FB" w:val="clear"/>
            <w:tcMar>
              <w:top w:type="dxa" w:w="120"/>
              <w:start w:type="dxa" w:w="160"/>
              <w:bottom w:type="dxa" w:w="120"/>
              <w:end w:type="dxa" w:w="16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⚠  Color Note for Developer: </w:t>
            </w:r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The website uses a specific color palette that deviates from the full brand guidelines. Always apply the website palette below. Do not source colors directly from the master brand guidelines PDF without cross-referencing this document.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0063B0"/>
          <w:sz w:val="22"/>
          <w:szCs w:val="22"/>
        </w:rPr>
        <w:t xml:space="preserve">1. BRAND POSITIONING &amp; STRATEGY</w:t>
      </w:r>
    </w:p>
    <w:p>
      <w:pPr>
        <w:pBdr>
          <w:bottom w:val="single" w:color="0063B0" w:sz="4" w:space="1"/>
        </w:pBdr>
        <w:spacing w:after="160" w:before="8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Founded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1906 — family owned and operated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Core Strength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Credibility, legacy, and demonstrable craft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Brand Promise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Premium outcome, professional process, trusted company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Tone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Confident, authoritative, warm — never discounted or generic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Avoid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Contractor language, process-heavy copy, price-first messaging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Primary Message Pillars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Transformation — lead with the finished result, not the process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Craftsmanship — 118 years of expertise and trained professionals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Communication — professionalism throughout, no surprises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Proof — before/after photography, reviews, certifications, warranty</w:t>
      </w:r>
    </w:p>
    <w:p>
      <w:pPr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0063B0"/>
          <w:sz w:val="22"/>
          <w:szCs w:val="22"/>
        </w:rPr>
        <w:t xml:space="preserve">2. VISUAL IDENTITY</w:t>
      </w:r>
    </w:p>
    <w:p>
      <w:pPr>
        <w:pBdr>
          <w:bottom w:val="single" w:color="0063B0" w:sz="4" w:space="1"/>
        </w:pBdr>
        <w:spacing w:after="160" w:before="8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Website Color Palette  (Use These — Not the Master Brand Guidelines)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52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pBdr>
                <w:top w:val="single" w:color="0063B0" w:sz="24"/>
                <w:bottom w:val="single" w:color="0063B0" w:sz="24"/>
                <w:left w:val="single" w:color="0063B0" w:sz="24"/>
                <w:right w:val="single" w:color="0063B0" w:sz="24"/>
              </w:pBdr>
              <w:shd w:fill="0063B0" w:val="clear"/>
              <w:spacing w:after="40" w:before="0"/>
            </w:pPr>
            <w:r>
              <w:rPr>
                <w:sz w:val="36"/>
                <w:szCs w:val="36"/>
              </w:rPr>
              <w:t xml:space="preserve">  </w:t>
            </w:r>
          </w:p>
          <w:p>
            <w:r>
              <w:rPr>
                <w:rFonts w:ascii="Poppins" w:cs="Poppins" w:eastAsia="Poppins" w:hAnsi="Poppins"/>
                <w:b/>
                <w:bCs/>
                <w:color w:val="2D2D2D"/>
                <w:sz w:val="16"/>
                <w:szCs w:val="16"/>
              </w:rPr>
              <w:t xml:space="preserve">Lapis Lazuli</w:t>
            </w:r>
          </w:p>
          <w:p>
            <w:r>
              <w:rPr>
                <w:rFonts w:ascii="Poppins" w:cs="Poppins" w:eastAsia="Poppins" w:hAnsi="Poppins"/>
                <w:color w:val="666666"/>
                <w:sz w:val="16"/>
                <w:szCs w:val="16"/>
              </w:rPr>
              <w:t xml:space="preserve">#0063B0</w:t>
            </w:r>
          </w:p>
          <w:p>
            <w:r>
              <w:rPr>
                <w:rFonts w:ascii="Poppins" w:cs="Poppins" w:eastAsia="Poppins" w:hAnsi="Poppins"/>
                <w:color w:val="888888"/>
                <w:sz w:val="14"/>
                <w:szCs w:val="14"/>
              </w:rPr>
              <w:t xml:space="preserve">Primary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pBdr>
                <w:top w:val="single" w:color="6CBBE8" w:sz="24"/>
                <w:bottom w:val="single" w:color="6CBBE8" w:sz="24"/>
                <w:left w:val="single" w:color="6CBBE8" w:sz="24"/>
                <w:right w:val="single" w:color="6CBBE8" w:sz="24"/>
              </w:pBdr>
              <w:shd w:fill="6CBBE8" w:val="clear"/>
              <w:spacing w:after="40" w:before="0"/>
            </w:pPr>
            <w:r>
              <w:rPr>
                <w:sz w:val="36"/>
                <w:szCs w:val="36"/>
              </w:rPr>
              <w:t xml:space="preserve">  </w:t>
            </w:r>
          </w:p>
          <w:p>
            <w:r>
              <w:rPr>
                <w:rFonts w:ascii="Poppins" w:cs="Poppins" w:eastAsia="Poppins" w:hAnsi="Poppins"/>
                <w:b/>
                <w:bCs/>
                <w:color w:val="2D2D2D"/>
                <w:sz w:val="16"/>
                <w:szCs w:val="16"/>
              </w:rPr>
              <w:t xml:space="preserve">Blue Celeste</w:t>
            </w:r>
          </w:p>
          <w:p>
            <w:r>
              <w:rPr>
                <w:rFonts w:ascii="Poppins" w:cs="Poppins" w:eastAsia="Poppins" w:hAnsi="Poppins"/>
                <w:color w:val="666666"/>
                <w:sz w:val="16"/>
                <w:szCs w:val="16"/>
              </w:rPr>
              <w:t xml:space="preserve">#6CBBE8</w:t>
            </w:r>
          </w:p>
          <w:p>
            <w:r>
              <w:rPr>
                <w:rFonts w:ascii="Poppins" w:cs="Poppins" w:eastAsia="Poppins" w:hAnsi="Poppins"/>
                <w:color w:val="888888"/>
                <w:sz w:val="14"/>
                <w:szCs w:val="14"/>
              </w:rPr>
              <w:t xml:space="preserve">Secondary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pBdr>
                <w:top w:val="single" w:color="F9F8F2" w:sz="24"/>
                <w:bottom w:val="single" w:color="F9F8F2" w:sz="24"/>
                <w:left w:val="single" w:color="F9F8F2" w:sz="24"/>
                <w:right w:val="single" w:color="F9F8F2" w:sz="24"/>
              </w:pBdr>
              <w:shd w:fill="F9F8F2" w:val="clear"/>
              <w:spacing w:after="40" w:before="0"/>
            </w:pPr>
            <w:r>
              <w:rPr>
                <w:sz w:val="36"/>
                <w:szCs w:val="36"/>
              </w:rPr>
              <w:t xml:space="preserve">  </w:t>
            </w:r>
          </w:p>
          <w:p>
            <w:r>
              <w:rPr>
                <w:rFonts w:ascii="Poppins" w:cs="Poppins" w:eastAsia="Poppins" w:hAnsi="Poppins"/>
                <w:b/>
                <w:bCs/>
                <w:color w:val="2D2D2D"/>
                <w:sz w:val="16"/>
                <w:szCs w:val="16"/>
              </w:rPr>
              <w:t xml:space="preserve">Ivory</w:t>
            </w:r>
          </w:p>
          <w:p>
            <w:r>
              <w:rPr>
                <w:rFonts w:ascii="Poppins" w:cs="Poppins" w:eastAsia="Poppins" w:hAnsi="Poppins"/>
                <w:color w:val="666666"/>
                <w:sz w:val="16"/>
                <w:szCs w:val="16"/>
              </w:rPr>
              <w:t xml:space="preserve">#F9F8F2</w:t>
            </w:r>
          </w:p>
          <w:p>
            <w:r>
              <w:rPr>
                <w:rFonts w:ascii="Poppins" w:cs="Poppins" w:eastAsia="Poppins" w:hAnsi="Poppins"/>
                <w:color w:val="888888"/>
                <w:sz w:val="14"/>
                <w:szCs w:val="14"/>
              </w:rPr>
              <w:t xml:space="preserve">Light accent</w:t>
            </w:r>
          </w:p>
        </w:tc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80"/>
              <w:bottom w:type="dxa" w:w="60"/>
              <w:end w:type="dxa" w:w="80"/>
            </w:tcMar>
          </w:tcPr>
          <w:p>
            <w:pPr>
              <w:pBdr>
                <w:top w:val="single" w:color="595953" w:sz="24"/>
                <w:bottom w:val="single" w:color="595953" w:sz="24"/>
                <w:left w:val="single" w:color="595953" w:sz="24"/>
                <w:right w:val="single" w:color="595953" w:sz="24"/>
              </w:pBdr>
              <w:shd w:fill="595953" w:val="clear"/>
              <w:spacing w:after="40" w:before="0"/>
            </w:pPr>
            <w:r>
              <w:rPr>
                <w:sz w:val="36"/>
                <w:szCs w:val="36"/>
              </w:rPr>
              <w:t xml:space="preserve">  </w:t>
            </w:r>
          </w:p>
          <w:p>
            <w:r>
              <w:rPr>
                <w:rFonts w:ascii="Poppins" w:cs="Poppins" w:eastAsia="Poppins" w:hAnsi="Poppins"/>
                <w:b/>
                <w:bCs/>
                <w:color w:val="2D2D2D"/>
                <w:sz w:val="16"/>
                <w:szCs w:val="16"/>
              </w:rPr>
              <w:t xml:space="preserve">Dark accent</w:t>
            </w:r>
          </w:p>
          <w:p>
            <w:r>
              <w:rPr>
                <w:rFonts w:ascii="Poppins" w:cs="Poppins" w:eastAsia="Poppins" w:hAnsi="Poppins"/>
                <w:color w:val="666666"/>
                <w:sz w:val="16"/>
                <w:szCs w:val="16"/>
              </w:rPr>
              <w:t xml:space="preserve">#595953</w:t>
            </w:r>
          </w:p>
          <w:p>
            <w:r>
              <w:rPr>
                <w:rFonts w:ascii="Poppins" w:cs="Poppins" w:eastAsia="Poppins" w:hAnsi="Poppins"/>
                <w:color w:val="888888"/>
                <w:sz w:val="14"/>
                <w:szCs w:val="14"/>
              </w:rPr>
              <w:t xml:space="preserve">Dark accent</w:t>
            </w:r>
          </w:p>
        </w:tc>
        <w:tc>
          <w:tcPr>
            <w:tcW w:type="dxa" w:w="5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Typography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Display / Headings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Playfair Display — Black (H1), Bold (H2), SemiBold (H3), Black All Caps (H4)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Body / UI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Poppins — Regular (body, 12px), Bold (highlight), Regular + underline (links)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Caption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Poppins Regular, 8pt, line-height × 1.5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Logo Usage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Preferred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Horizontal logo for header; vertical logo for standalone brand moments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Badge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Use badge (EST. 1906) for trust signals, footers, and heritage references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Min size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Horizontal: 20px height · Vertical: 20px height · Badge: 20px height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Favicon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AGW monogram icon at 16×16 and 32×32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Imagery Direction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Lead every page and ad with the finished result — show transformation, not process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Prioritize real people and real AGW projects over stock photography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Strong before-and-after sequences perform best across both audience segments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Avoid imagery that is purely process-focused (ladders, rollers, drop cloths 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Residential: warm, polished interiors and exteriors with satisfied homeowners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Commercial: clean facility shots, large-scale project completion, professional crews</w:t>
      </w:r>
    </w:p>
    <w:p>
      <w:pPr>
        <w:spacing w:after="0" w:before="0"/>
      </w:pPr>
      <w:r>
        <w:br w:type="page"/>
      </w:r>
    </w:p>
    <w:p>
      <w:pPr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0063B0"/>
          <w:sz w:val="22"/>
          <w:szCs w:val="22"/>
        </w:rPr>
        <w:t xml:space="preserve">3. AUDIENCE SEGMENTS &amp; CONTENT DIRECTION</w:t>
      </w:r>
    </w:p>
    <w:p>
      <w:pPr>
        <w:pBdr>
          <w:bottom w:val="single" w:color="0063B0" w:sz="4" w:space="1"/>
        </w:pBdr>
        <w:spacing w:after="160" w:before="8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3A. Residential — Older Homeowners (55+)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Motivators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Longevity, reputation, quality, local trust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Decision drivers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Reviews, years in business, warranty, references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Messaging tone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Respectful, direct, authoritative — no jargon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Key proofs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EST. 1906, 5-year warranty, licensed &amp; insured, named certifications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Lead with legacy: "Trusted by homeowners since 1906"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Feature the 5-year warranty prominently — tested well across all age groups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Show completed exteriors and interiors with clear before-and-after framing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Include photo proof of uniformed crews and clean job sites</w:t>
      </w:r>
    </w:p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3B. Residential — Younger Affluent Homeowners (Millennials, 30–44)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Motivators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Visual proof, modern presentation, financial flexibility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Decision drivers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Portfolio quality, warranty terms, financing options, brand polish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Messaging tone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Premium, modern, outcome-focused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Key proofs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High-quality photography, 0% financing offer, 5-year warranty, digital estimates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0% financing is a significant motivator for this segment — surface it early on the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5-year warranty should appear prominently alongside financing messaging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Invest in polished before-and-after galleries with multiple room/exterior types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Ensure mobile experience is seamless — this segment converts on mobile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Use modern, clean page layouts; avoid legacy contractor aesthetics</w:t>
      </w:r>
    </w:p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3C. Commercial Clients — GCs &amp; Facility Decision-Makers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Business lines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Commercial Paint &amp; Fireproofing · Commercial Floors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Audiences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General contractors, facility managers, property owners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Motivators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Reliability, certifications, schedule adherence, professional crew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63B0"/>
                <w:sz w:val="18"/>
                <w:szCs w:val="18"/>
              </w:rPr>
              <w:t xml:space="preserve">Decision drivers</w:t>
            </w:r>
          </w:p>
        </w:tc>
        <w:tc>
          <w:tcPr>
            <w:tcW w:type="dxa" w:w="6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start w:type="dxa" w:w="120"/>
              <w:bottom w:type="dxa" w:w="60"/>
              <w:end w:type="dxa" w:w="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Capabilities documentation, certifications, project scale, referrals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GCs need: capabilities sheet (downloadable PDF), certification display, project scale examples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Facility managers need: disruption minimization messaging, compliance language, references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Include a GC/referral portal or clear contact pathway for repeat commercial business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Separate commercial content clearly from residential — different audiences, different needs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Tone: professional, specification-ready — closer to B2B than consumer marketing</w:t>
      </w:r>
    </w:p>
    <w:p>
      <w:pPr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0063B0"/>
          <w:sz w:val="22"/>
          <w:szCs w:val="22"/>
        </w:rPr>
        <w:t xml:space="preserve">4. WEBSITE IMPLEMENTATION DIRECTIVES</w:t>
      </w:r>
    </w:p>
    <w:p>
      <w:pPr>
        <w:pBdr>
          <w:bottom w:val="single" w:color="0063B0" w:sz="4" w:space="1"/>
        </w:pBdr>
        <w:spacing w:after="160" w:before="8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Global Standards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Brand feel: premium, clean, timeless, trustworthy — not generic contractor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Every page should reinforce: trusted, premium, local choice for confident outcomes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No discount language, no urgency gimmicks, no generic contractor copy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Navigation should cleanly separate Residential and Commercial verticals</w:t>
      </w:r>
    </w:p>
    <w:p>
      <w:pPr>
        <w:spacing w:after="0" w:before="10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Priority Features by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c>
          <w:tcPr>
            <w:tcW w:type="dxa" w:w="3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63B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All Visitors</w:t>
            </w:r>
          </w:p>
        </w:tc>
        <w:tc>
          <w:tcPr>
            <w:tcW w:type="dxa" w:w="313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63B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Millennials / Residential</w:t>
            </w:r>
          </w:p>
        </w:tc>
        <w:tc>
          <w:tcPr>
            <w:tcW w:type="dxa" w:w="313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63B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310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5-year warranty badge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0% financing callout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Capabilities sheet PDF</w:t>
            </w:r>
          </w:p>
        </w:tc>
      </w:tr>
      <w:tr>
        <w:tc>
          <w:tcPr>
            <w:tcW w:type="dxa" w:w="310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Before/after gallery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High-quality photo portfolio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Certification display</w:t>
            </w:r>
          </w:p>
        </w:tc>
      </w:tr>
      <w:tr>
        <w:tc>
          <w:tcPr>
            <w:tcW w:type="dxa" w:w="310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EST. 1906 trust signal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Mobile-optimized estimate CTA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GC referral/portal pathway</w:t>
            </w:r>
          </w:p>
        </w:tc>
      </w:tr>
      <w:tr>
        <w:tc>
          <w:tcPr>
            <w:tcW w:type="dxa" w:w="310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Licensed &amp; insured display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Modern, clean layout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Commercial project gallery</w:t>
            </w:r>
          </w:p>
        </w:tc>
      </w:tr>
      <w:tr>
        <w:tc>
          <w:tcPr>
            <w:tcW w:type="dxa" w:w="310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Customer reviews/testimonials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FFFFF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Social proof + ratings</w:t>
            </w:r>
          </w:p>
        </w:tc>
        <w:tc>
          <w:tcPr>
            <w:tcW w:type="dxa" w:w="3130"/>
            <w:tcBorders>
              <w:top w:val="single" w:color="D0E5F5" w:sz="4"/>
              <w:left w:val="single" w:color="D0E5F5" w:sz="4"/>
              <w:bottom w:val="single" w:color="D0E5F5" w:sz="4"/>
              <w:right w:val="single" w:color="D0E5F5" w:sz="4"/>
            </w:tcBorders>
            <w:shd w:fill="F9F8F2" w:val="clear"/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Poppins" w:cs="Poppins" w:eastAsia="Poppins" w:hAnsi="Poppins"/>
                <w:color w:val="2D2D2D"/>
                <w:sz w:val="18"/>
                <w:szCs w:val="18"/>
              </w:rPr>
              <w:t xml:space="preserve">Compliance &amp; spec language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Poppins" w:cs="Poppins" w:eastAsia="Poppins" w:hAnsi="Poppins"/>
          <w:b/>
          <w:bCs/>
          <w:color w:val="2D2D2D"/>
          <w:sz w:val="20"/>
          <w:szCs w:val="20"/>
        </w:rPr>
        <w:t xml:space="preserve">Creative &amp; Content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Lead hero sections with the finished result — not the process or the crew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Address customer pain points before introducing services or differentiators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Copy hierarchy: pain point → transformation → proof → call to 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Never lead with price, discount, or promotion as a primary headline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5-year warranty and financing options are conversion drivers — treat as features, not footnotes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b w:val="false"/>
          <w:bCs w:val="false"/>
          <w:color w:val="2D2D2D"/>
          <w:sz w:val="20"/>
          <w:szCs w:val="20"/>
        </w:rPr>
        <w:t xml:space="preserve">All CTAs should drive toward estimate/consultation, not generic "contact us"</w:t>
      </w:r>
    </w:p>
    <w:p>
      <w:pPr>
        <w:spacing w:after="0" w:before="160"/>
      </w:pPr>
      <w:r>
        <w:t xml:space="preserve"/>
      </w:r>
    </w:p>
    <w:p>
      <w:pPr>
        <w:pBdr>
          <w:bottom w:val="single" w:color="0063B0" w:sz="8" w:space="1"/>
        </w:pBdr>
        <w:spacing w:after="160" w:before="80"/>
      </w:pPr>
      <w:r>
        <w:t xml:space="preserve"/>
      </w:r>
    </w:p>
    <w:p>
      <w:pPr>
        <w:spacing w:after="0" w:before="80"/>
      </w:pPr>
      <w:r>
        <w:rPr>
          <w:rFonts w:ascii="Poppins" w:cs="Poppins" w:eastAsia="Poppins" w:hAnsi="Poppins"/>
          <w:b/>
          <w:bCs/>
          <w:color w:val="555555"/>
          <w:sz w:val="16"/>
          <w:szCs w:val="16"/>
        </w:rPr>
        <w:t xml:space="preserve">Cross-reference: </w:t>
      </w:r>
      <w:r>
        <w:rPr>
          <w:rFonts w:ascii="Poppins" w:cs="Poppins" w:eastAsia="Poppins" w:hAnsi="Poppins"/>
          <w:color w:val="777777"/>
          <w:sz w:val="16"/>
          <w:szCs w:val="16"/>
        </w:rPr>
        <w:t xml:space="preserve">This document supplements—and does not replace—the full AGW Brand Guidelines and Developer Reference Guide. For detailed logo files, pattern assets, icon sets, and print specifications, refer to those companion documents.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Playfair Display" w:cs="Playfair Display" w:eastAsia="Playfair Display" w:hAnsi="Playfair Display"/>
      <w:b/>
      <w:bCs/>
      <w:color w:val="0063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oppins" w:cs="Poppins" w:eastAsia="Poppins" w:hAnsi="Poppins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2026-04-21T19:08:32.672Z</dcterms:created>
  <dcterms:modified xsi:type="dcterms:W3CDTF">2026-04-21T19:08:32.673Z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