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CONTRATO SAAS</w:t>
      </w:r>
    </w:p>
    <w:p>
      <w:pPr>
        <w:jc w:val="center"/>
      </w:pPr>
      <w:r>
        <w:rPr>
          <w:i/>
          <w:sz w:val="21"/>
        </w:rPr>
        <w:t>sclinic — contrato de prestação de serviço de software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Modelo-base. Recomenda-se assinatura eletrônica e preenchimento dos anexos comerciais. A versão final deve refletir SLA, preços, impostos, suporte e limites efetivamente praticados.</w:t>
            </w:r>
          </w:p>
        </w:tc>
      </w:tr>
    </w:tbl>
    <w:p>
      <w:pPr>
        <w:spacing w:after="0"/>
      </w:pPr>
    </w:p>
    <w:p>
      <w:pPr>
        <w:pStyle w:val="Heading1"/>
      </w:pPr>
      <w:r>
        <w:t>1. Partes</w:t>
      </w:r>
    </w:p>
    <w:p>
      <w:r>
        <w:t>CONTRATADA: [RAZÃO SOCIAL], CNPJ [CNPJ], sede em [ENDEREÇO].</w:t>
      </w:r>
    </w:p>
    <w:p>
      <w:r>
        <w:t>CONTRATANTE: dados cadastrais da clínica ou profissional constantes da proposta, ordem de contratação ou cadastro contratual.</w:t>
      </w:r>
    </w:p>
    <w:p>
      <w:pPr>
        <w:pStyle w:val="Heading1"/>
      </w:pPr>
      <w:r>
        <w:t>2. Objeto</w:t>
      </w:r>
    </w:p>
    <w:p>
      <w:r>
        <w:t>Prestação de acesso ao software sclinic em modelo SaaS, incluindo os módulos e limites contratados. O acesso é concedido durante a vigência, não havendo transferência de código ou licença de instalação salvo contratação expressa.</w:t>
      </w:r>
    </w:p>
    <w:p>
      <w:pPr>
        <w:pStyle w:val="Heading1"/>
      </w:pPr>
      <w:r>
        <w:t>3. Plano, preço e cobrança</w:t>
      </w:r>
    </w:p>
    <w:p>
      <w:pPr>
        <w:pStyle w:val="ListBullet"/>
      </w:pPr>
      <w:r>
        <w:t>Plano e preço: conforme página comercial, proposta ou pedido de contratação.</w:t>
      </w:r>
    </w:p>
    <w:p>
      <w:pPr>
        <w:pStyle w:val="ListBullet"/>
      </w:pPr>
      <w:r>
        <w:t>Ciclo de cobrança: mensal, anual ou outro definido no pedido.</w:t>
      </w:r>
    </w:p>
    <w:p>
      <w:pPr>
        <w:pStyle w:val="ListBullet"/>
      </w:pPr>
      <w:r>
        <w:t>Tributos: tratados conforme legislação e natureza da operação.</w:t>
      </w:r>
    </w:p>
    <w:p>
      <w:pPr>
        <w:pStyle w:val="ListBullet"/>
      </w:pPr>
      <w:r>
        <w:t>Inadimplência: poderá resultar em restrição/suspensão do acesso conforme contrato e legislação, preservando procedimentos de exportação e obrigações de retenção quando aplicáveis.</w:t>
      </w:r>
    </w:p>
    <w:p>
      <w:pPr>
        <w:pStyle w:val="Heading1"/>
      </w:pPr>
      <w:r>
        <w:t>4. Obrigações da Contratada</w:t>
      </w:r>
    </w:p>
    <w:p>
      <w:pPr>
        <w:pStyle w:val="ListBullet"/>
      </w:pPr>
      <w:r>
        <w:t>Disponibilizar o Serviço conforme o plano contratado.</w:t>
      </w:r>
    </w:p>
    <w:p>
      <w:pPr>
        <w:pStyle w:val="ListBullet"/>
      </w:pPr>
      <w:r>
        <w:t>Aplicar medidas técnicas e administrativas compatíveis com o risco.</w:t>
      </w:r>
    </w:p>
    <w:p>
      <w:pPr>
        <w:pStyle w:val="ListBullet"/>
      </w:pPr>
      <w:r>
        <w:t>Processar dados pessoais conforme a LGPD, Política de Privacidade e DPA.</w:t>
      </w:r>
    </w:p>
    <w:p>
      <w:pPr>
        <w:pStyle w:val="ListBullet"/>
      </w:pPr>
      <w:r>
        <w:t>Manter controles de acesso, logs, backups e procedimentos de resposta a incidentes compatíveis com o Serviço.</w:t>
      </w:r>
    </w:p>
    <w:p>
      <w:pPr>
        <w:pStyle w:val="ListBullet"/>
      </w:pPr>
      <w:r>
        <w:t>Informar alterações materiais e indisponibilidades relevantes quando apropriado.</w:t>
      </w:r>
    </w:p>
    <w:p>
      <w:pPr>
        <w:pStyle w:val="Heading1"/>
      </w:pPr>
      <w:r>
        <w:t>5. Obrigações da Contratante</w:t>
      </w:r>
    </w:p>
    <w:p>
      <w:pPr>
        <w:pStyle w:val="ListBullet"/>
      </w:pPr>
      <w:r>
        <w:t>Utilizar o Serviço de acordo com a lei e os Termos de Uso.</w:t>
      </w:r>
    </w:p>
    <w:p>
      <w:pPr>
        <w:pStyle w:val="ListBullet"/>
      </w:pPr>
      <w:r>
        <w:t>Definir finalidades e hipóteses legais para os dados de seus pacientes.</w:t>
      </w:r>
    </w:p>
    <w:p>
      <w:pPr>
        <w:pStyle w:val="ListBullet"/>
      </w:pPr>
      <w:r>
        <w:t>Fornecer instruções lícitas e documentadas para o tratamento de dados.</w:t>
      </w:r>
    </w:p>
    <w:p>
      <w:pPr>
        <w:pStyle w:val="ListBullet"/>
      </w:pPr>
      <w:r>
        <w:t>Gerir contas, perfis, permissões e acessos de sua equipe.</w:t>
      </w:r>
    </w:p>
    <w:p>
      <w:pPr>
        <w:pStyle w:val="ListBullet"/>
      </w:pPr>
      <w:r>
        <w:t>Manter seus próprios processos clínicos, documentos, consentimentos e registros regulatórios.</w:t>
      </w:r>
    </w:p>
    <w:p>
      <w:pPr>
        <w:pStyle w:val="ListBullet"/>
      </w:pPr>
      <w:r>
        <w:t>Notificar a Contratada quando identificar incidente, acesso indevido ou instrução incorreta.</w:t>
      </w:r>
    </w:p>
    <w:p>
      <w:pPr>
        <w:pStyle w:val="Heading1"/>
      </w:pPr>
      <w:r>
        <w:t>6. Proteção de dados e DPA</w:t>
      </w:r>
    </w:p>
    <w:p>
      <w:r>
        <w:t>As partes reconhecem que a Contratada poderá atuar como controladora em tratamentos relacionados à própria relação SaaS e como operadora nos dados clínicos e operacionais da Contratante. O Anexo de Tratamento de Dados (DPA) integra este contrato para as operações em que a Contratada atuar como operadora.</w:t>
      </w:r>
    </w:p>
    <w:p>
      <w:pPr>
        <w:pStyle w:val="Heading1"/>
      </w:pPr>
      <w:r>
        <w:t>7. Suboperadores</w:t>
      </w:r>
    </w:p>
    <w:p>
      <w:r>
        <w:t>A Contratada poderá contratar suboperadores necessários ao Serviço, observando confidencialidade, segurança e mecanismos de transferência internacional quando aplicáveis. A lista de suboperadores será mantida em canal apropriado e poderá ser atualizada conforme o procedimento definido no DPA.</w:t>
      </w:r>
    </w:p>
    <w:p>
      <w:pPr>
        <w:pStyle w:val="Heading1"/>
      </w:pPr>
      <w:r>
        <w:t>8. Segurança e incidentes</w:t>
      </w:r>
    </w:p>
    <w:p>
      <w:r>
        <w:t>A Contratada manterá medidas de segurança compatíveis com a natureza do Serviço. Em incidente que afete dados tratados em nome da Contratante, a Contratada comunicará a Contratante sem demora indevida e cooperará com a avaliação e resposta, conforme o DPA.</w:t>
      </w:r>
    </w:p>
    <w:p>
      <w:pPr>
        <w:pStyle w:val="Heading1"/>
      </w:pPr>
      <w:r>
        <w:t>9. Disponibilidade, suporte e manutenção</w:t>
      </w:r>
    </w:p>
    <w:p>
      <w:r>
        <w:t>Níveis de serviço, janelas de manutenção e canais de suporte constarão do plano contratado, proposta ou SLA específico. Na ausência de SLA, a Contratada adotará esforços comercialmente razoáveis para manter disponibilidade e atendimento adequados.</w:t>
      </w:r>
    </w:p>
    <w:p>
      <w:pPr>
        <w:pStyle w:val="Heading1"/>
      </w:pPr>
      <w:r>
        <w:t>10. Vigência e encerramento</w:t>
      </w:r>
    </w:p>
    <w:p>
      <w:r>
        <w:t>A vigência inicia-se na contratação e permanece pelo período contratado, com renovação conforme plano. Qualquer parte poderá rescindir em hipóteses previstas neste instrumento ou na proposta, observados aviso prévio, inadimplência e demais condições comerciais.</w:t>
      </w:r>
    </w:p>
    <w:p>
      <w:pPr>
        <w:pStyle w:val="Heading1"/>
      </w:pPr>
      <w:r>
        <w:t>11. Portabilidade e saída</w:t>
      </w:r>
    </w:p>
    <w:p>
      <w:r>
        <w:t>Ao término, a Contratante poderá solicitar exportação dos dados em formatos disponibilizados pelo Serviço, observadas limitações técnicas, segurança, confidencialidade e dados de terceiros. Após o período de saída, a exclusão seguirá a Política de Retenção e Exclusão, ressalvadas obrigações de preservação.</w:t>
      </w:r>
    </w:p>
    <w:p>
      <w:pPr>
        <w:pStyle w:val="Heading1"/>
      </w:pPr>
      <w:r>
        <w:t>12. Propriedade intelectual</w:t>
      </w:r>
    </w:p>
    <w:p>
      <w:r>
        <w:t>A Contratada mantém os direitos sobre o software e materiais do sclinic. A Contratante mantém direitos e responsabilidades sobre seus conteúdos e dados, sem prejuízo dos tratamentos legítimos realizados pela Contratada como controladora.</w:t>
      </w:r>
    </w:p>
    <w:p>
      <w:pPr>
        <w:pStyle w:val="Heading1"/>
      </w:pPr>
      <w:r>
        <w:t>13. Confidencialidade</w:t>
      </w:r>
    </w:p>
    <w:p>
      <w:r>
        <w:t>As partes preservarão informações confidenciais obtidas em razão do contrato, usando-as apenas para execução, segurança, suporte, cumprimento legal e defesa de direitos. A obrigação permanece após o término enquanto a informação conservar caráter confidencial.</w:t>
      </w:r>
    </w:p>
    <w:p>
      <w:pPr>
        <w:pStyle w:val="Heading1"/>
      </w:pPr>
      <w:r>
        <w:t>14. Limitação de responsabilidade</w:t>
      </w:r>
    </w:p>
    <w:p>
      <w:r>
        <w:t>A responsabilidade contratual será definida conforme perdas efetivamente comprovadas e limites válidos na legislação e no contrato comercial. Nenhuma cláusula autoriza exclusão de responsabilidade legalmente irrenunciável.</w:t>
      </w:r>
    </w:p>
    <w:p>
      <w:pPr>
        <w:pStyle w:val="Heading1"/>
      </w:pPr>
      <w:r>
        <w:t>15. Lei aplicável e foro</w:t>
      </w:r>
    </w:p>
    <w:p>
      <w:r>
        <w:t>Aplica-se a legislação brasileira. Foro: [COMARCA/UF], salvo regra legal obrigatória diversa.</w:t>
      </w:r>
    </w:p>
    <w:p>
      <w:pPr>
        <w:pStyle w:val="Heading1"/>
      </w:pPr>
      <w:r>
        <w:t>16. Documentos integrados</w:t>
      </w:r>
    </w:p>
    <w:p>
      <w:pPr>
        <w:pStyle w:val="ListBullet"/>
      </w:pPr>
      <w:r>
        <w:t>Termos de Uso.</w:t>
      </w:r>
    </w:p>
    <w:p>
      <w:pPr>
        <w:pStyle w:val="ListBullet"/>
      </w:pPr>
      <w:r>
        <w:t>Política de Privacidade.</w:t>
      </w:r>
    </w:p>
    <w:p>
      <w:pPr>
        <w:pStyle w:val="ListBullet"/>
      </w:pPr>
      <w:r>
        <w:t>Política de Cookies.</w:t>
      </w:r>
    </w:p>
    <w:p>
      <w:pPr>
        <w:pStyle w:val="ListBullet"/>
      </w:pPr>
      <w:r>
        <w:t>DPA / Anexo de Tratamento de Dados.</w:t>
      </w:r>
    </w:p>
    <w:p>
      <w:pPr>
        <w:pStyle w:val="ListBullet"/>
      </w:pPr>
      <w:r>
        <w:t>SLA ou condições comerciais, quando houver.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