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2"/>
        </w:rPr>
        <w:t>PROCEDIMENTO DE RESPOSTA A INCIDENTES DE SEGURANÇA</w:t>
      </w:r>
    </w:p>
    <w:p>
      <w:pPr>
        <w:jc w:val="center"/>
      </w:pPr>
      <w:r>
        <w:rPr>
          <w:i/>
          <w:sz w:val="21"/>
        </w:rPr>
        <w:t>sclinic — documento interno</w:t>
      </w:r>
    </w:p>
    <w:p>
      <w:pPr>
        <w:jc w:val="center"/>
      </w:pPr>
      <w:r>
        <w:rPr>
          <w:sz w:val="18"/>
        </w:rPr>
        <w:t>Última atualização: [DD/MM/AAAA]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</w:tcPr>
          <w:p>
            <w:pPr>
              <w:pStyle w:val="Small"/>
            </w:pPr>
            <w:r>
              <w:t>A finalidade é estruturar resposta, evidência e comunicação. Não substitui avaliação jurídica do incidente concreto.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Estabelecer fluxo para identificar, conter, investigar, remediar e comunicar incidentes de segurança que possam afetar dados pessoais ou a disponibilidade e integridade do sclinic.</w:t>
      </w:r>
    </w:p>
    <w:p>
      <w:pPr>
        <w:pStyle w:val="Heading1"/>
      </w:pPr>
      <w:r>
        <w:t>2. Exemplos de incidentes</w:t>
      </w:r>
    </w:p>
    <w:p>
      <w:pPr>
        <w:pStyle w:val="ListBullet"/>
      </w:pPr>
      <w:r>
        <w:t>Acesso indevido a tenant ou prontuário.</w:t>
      </w:r>
    </w:p>
    <w:p>
      <w:pPr>
        <w:pStyle w:val="ListBullet"/>
      </w:pPr>
      <w:r>
        <w:t>Exposição de credencial ou segredo.</w:t>
      </w:r>
    </w:p>
    <w:p>
      <w:pPr>
        <w:pStyle w:val="ListBullet"/>
      </w:pPr>
      <w:r>
        <w:t>Falha de autorização permitindo acesso cruzado entre clínicas.</w:t>
      </w:r>
    </w:p>
    <w:p>
      <w:pPr>
        <w:pStyle w:val="ListBullet"/>
      </w:pPr>
      <w:r>
        <w:t>Exfiltração ou compartilhamento não autorizado.</w:t>
      </w:r>
    </w:p>
    <w:p>
      <w:pPr>
        <w:pStyle w:val="ListBullet"/>
      </w:pPr>
      <w:r>
        <w:t>Ransomware ou código malicioso.</w:t>
      </w:r>
    </w:p>
    <w:p>
      <w:pPr>
        <w:pStyle w:val="ListBullet"/>
      </w:pPr>
      <w:r>
        <w:t>Perda ou alteração indevida de dados.</w:t>
      </w:r>
    </w:p>
    <w:p>
      <w:pPr>
        <w:pStyle w:val="ListBullet"/>
      </w:pPr>
      <w:r>
        <w:t>Indisponibilidade decorrente de ataque.</w:t>
      </w:r>
    </w:p>
    <w:p>
      <w:pPr>
        <w:pStyle w:val="ListBullet"/>
      </w:pPr>
      <w:r>
        <w:t>Envio de informação para destinatário incorreto.</w:t>
      </w:r>
    </w:p>
    <w:p>
      <w:pPr>
        <w:pStyle w:val="Heading1"/>
      </w:pPr>
      <w:r>
        <w:t>3. Níveis de severidade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Nível</w:t>
            </w:r>
          </w:p>
        </w:tc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Critério indicativo</w:t>
            </w:r>
          </w:p>
        </w:tc>
        <w:tc>
          <w:tcPr>
            <w:tcW w:type="dxa" w:w="331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Resposta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Crítico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Potencial exposição de dados de saúde, múltiplos tenants, grande volume ou impacto severo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Acionamento imediato, contenção prioritária e avaliação executiva/jurídica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Exposição confirmada ou provável de dados pessoais relevantes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Contenção rápida, investigação e avaliação de comunicação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Médio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Evento limitado, sem evidência de exposição relevante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Investigação e correção em prazo proporcional</w:t>
            </w:r>
          </w:p>
        </w:tc>
      </w:tr>
      <w:tr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Baixo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Evento técnico sem impacto relevante em dados pessoais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Tratamento pelo fluxo operacional</w:t>
            </w:r>
          </w:p>
        </w:tc>
      </w:tr>
    </w:tbl>
    <w:p>
      <w:pPr>
        <w:pStyle w:val="Heading1"/>
      </w:pPr>
      <w:r>
        <w:t>4. Fluxo de resposta</w:t>
      </w:r>
    </w:p>
    <w:p>
      <w:pPr>
        <w:pStyle w:val="ListNumber"/>
      </w:pPr>
      <w:r>
        <w:t>Detecção e registro do evento.</w:t>
      </w:r>
    </w:p>
    <w:p>
      <w:pPr>
        <w:pStyle w:val="ListNumber"/>
      </w:pPr>
      <w:r>
        <w:t>Triagem inicial e classificação.</w:t>
      </w:r>
    </w:p>
    <w:p>
      <w:pPr>
        <w:pStyle w:val="ListNumber"/>
      </w:pPr>
      <w:r>
        <w:t>Contenção para impedir agravamento.</w:t>
      </w:r>
    </w:p>
    <w:p>
      <w:pPr>
        <w:pStyle w:val="ListNumber"/>
      </w:pPr>
      <w:r>
        <w:t>Preservação de evidências e logs.</w:t>
      </w:r>
    </w:p>
    <w:p>
      <w:pPr>
        <w:pStyle w:val="ListNumber"/>
      </w:pPr>
      <w:r>
        <w:t>Investigação de causa, escopo e dados afetados.</w:t>
      </w:r>
    </w:p>
    <w:p>
      <w:pPr>
        <w:pStyle w:val="ListNumber"/>
      </w:pPr>
      <w:r>
        <w:t>Correção e recuperação.</w:t>
      </w:r>
    </w:p>
    <w:p>
      <w:pPr>
        <w:pStyle w:val="ListNumber"/>
      </w:pPr>
      <w:r>
        <w:t>Avaliação jurídica de risco e necessidade de comunicação.</w:t>
      </w:r>
    </w:p>
    <w:p>
      <w:pPr>
        <w:pStyle w:val="ListNumber"/>
      </w:pPr>
      <w:r>
        <w:t>Comunicação às partes aplicáveis e autoridades, quando exigido.</w:t>
      </w:r>
    </w:p>
    <w:p>
      <w:pPr>
        <w:pStyle w:val="ListNumber"/>
      </w:pPr>
      <w:r>
        <w:t>Lições aprendidas e ações preventivas.</w:t>
      </w:r>
    </w:p>
    <w:p>
      <w:pPr>
        <w:pStyle w:val="Heading1"/>
      </w:pPr>
      <w:r>
        <w:t>5. Incidente envolvendo dados da clínica</w:t>
      </w:r>
    </w:p>
    <w:p>
      <w:r>
        <w:t>Quando o sclinic atuar como operador, a equipe responsável deverá informar a clínica controladora sem demora indevida após confirmação razoável de incidente que possa afetar seus dados, fornecendo as informações disponíveis para análise. A clínica decidirá sobre a comunicação ao titular e à ANPD, salvo obrigação legal direta da Prestadora.</w:t>
      </w:r>
    </w:p>
    <w:p>
      <w:pPr>
        <w:pStyle w:val="Heading1"/>
      </w:pPr>
      <w:r>
        <w:t>6. Incidente envolvendo dados controlados pelo sclinic</w:t>
      </w:r>
    </w:p>
    <w:p>
      <w:r>
        <w:t>Quando a Prestadora for controladora, o incidente será tratado de acordo com a LGPD e a Resolução CD/ANPD nº 15/2024, inclusive quanto à análise de risco e eventual comunicação à ANPD e aos titulares dentro dos prazos regulamentares aplicáveis.</w:t>
      </w:r>
    </w:p>
    <w:p>
      <w:pPr>
        <w:pStyle w:val="Heading1"/>
      </w:pPr>
      <w:r>
        <w:t>7. Conteúdo mínimo da comunicação</w:t>
      </w:r>
    </w:p>
    <w:p>
      <w:pPr>
        <w:pStyle w:val="ListBullet"/>
      </w:pPr>
      <w:r>
        <w:t>Descrição da natureza do incidente.</w:t>
      </w:r>
    </w:p>
    <w:p>
      <w:pPr>
        <w:pStyle w:val="ListBullet"/>
      </w:pPr>
      <w:r>
        <w:t>Categorias e quantidade aproximada de titulares afetados, quando conhecida.</w:t>
      </w:r>
    </w:p>
    <w:p>
      <w:pPr>
        <w:pStyle w:val="ListBullet"/>
      </w:pPr>
      <w:r>
        <w:t>Categorias e quantidade aproximada de dados afetados.</w:t>
      </w:r>
    </w:p>
    <w:p>
      <w:pPr>
        <w:pStyle w:val="ListBullet"/>
      </w:pPr>
      <w:r>
        <w:t>Consequências potenciais e medidas adotadas.</w:t>
      </w:r>
    </w:p>
    <w:p>
      <w:pPr>
        <w:pStyle w:val="ListBullet"/>
      </w:pPr>
      <w:r>
        <w:t>Medidas técnicas e administrativas de contenção e mitigação.</w:t>
      </w:r>
    </w:p>
    <w:p>
      <w:pPr>
        <w:pStyle w:val="ListBullet"/>
      </w:pPr>
      <w:r>
        <w:t>Canal de contato para esclarecimentos.</w:t>
      </w:r>
    </w:p>
    <w:p>
      <w:pPr>
        <w:pStyle w:val="Heading1"/>
      </w:pPr>
      <w:r>
        <w:t>8. Registro e preservação</w:t>
      </w:r>
    </w:p>
    <w:p>
      <w:r>
        <w:t>Todo incidente deve possuir registro contendo data, detecção, classificação, responsáveis, evidências, decisões, comunicações e medidas corretivas. O registro deve observar o prazo mínimo de preservação aplicável à regulamentação da ANPD e às necessidades de defesa de direitos.</w:t>
      </w:r>
    </w:p>
    <w:p>
      <w:pPr>
        <w:pStyle w:val="Heading1"/>
      </w:pPr>
      <w:r>
        <w:t>9. Papéis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Papel</w:t>
            </w:r>
          </w:p>
        </w:tc>
        <w:tc>
          <w:tcPr>
            <w:tcW w:type="dxa" w:w="49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Responsabilidade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Tecnologia/SecOps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Detecção, contenção, análise técnica e recuperação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Privacidade/Encarregado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Coordenação de aspectos de proteção de dados e interface institucional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Jurídico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Avaliação de obrigações legais e comunicações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Gestão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Decisões de prioridade, risco, comunicação e continuidade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Suporte/Customer Success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Comunicação operacional com clientes afetados conforme orientação</w:t>
            </w:r>
          </w:p>
        </w:tc>
      </w:tr>
    </w:tbl>
    <w:p>
      <w:pPr>
        <w:pStyle w:val="Heading1"/>
      </w:pPr>
      <w:r>
        <w:t>10. Testes e revisão</w:t>
      </w:r>
    </w:p>
    <w:p>
      <w:r>
        <w:t>O procedimento deve ser testado periodicamente, incluindo simulações de vazamento entre tenants, comprometimento de credencial administrativa e indisponibilidade de banco de dados.</w:t>
      </w:r>
    </w:p>
    <w:p>
      <w:pPr>
        <w:pStyle w:val="Heading1"/>
      </w:pPr>
      <w:r>
        <w:t>11. Referência</w:t>
      </w:r>
    </w:p>
    <w:p>
      <w:r>
        <w:t>Base principal: Resolução CD/ANPD nº 15/2024, além da LGPD e demais normas aplicáveis.</w:t>
      </w:r>
    </w:p>
    <w:sectPr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sclinic • versão 1.0 •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SCLINIC | DOCUMENTO JURÍDICO | USO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