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/>
          <w:b/>
          <w:sz w:val="42"/>
        </w:rPr>
        <w:t>ROPA — REGISTRO DAS OPERAÇÕES DE TRATAMENTO</w:t>
      </w:r>
    </w:p>
    <w:p>
      <w:pPr>
        <w:jc w:val="center"/>
      </w:pPr>
      <w:r>
        <w:rPr>
          <w:i/>
          <w:sz w:val="21"/>
        </w:rPr>
        <w:t>sclinic — template de governança</w:t>
      </w:r>
    </w:p>
    <w:p>
      <w:pPr>
        <w:jc w:val="center"/>
      </w:pPr>
      <w:r>
        <w:rPr>
          <w:sz w:val="18"/>
        </w:rPr>
        <w:t>Última atualização: [DD/MM/AAAA]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tcMar>
              <w:top w:w="120" w:type="dxa"/>
              <w:start w:w="140" w:type="dxa"/>
              <w:bottom w:w="120" w:type="dxa"/>
              <w:end w:w="140" w:type="dxa"/>
            </w:tcMar>
            <w:shd w:fill="EEF4FF"/>
          </w:tcPr>
          <w:p>
            <w:pPr>
              <w:pStyle w:val="Small"/>
            </w:pPr>
            <w:r>
              <w:t>Template interno. Deve ser preenchido por processo/fluxo de tratamento. Não substitui a Política de Privacidade ou o DPA.</w:t>
            </w:r>
          </w:p>
        </w:tc>
      </w:tr>
    </w:tbl>
    <w:p>
      <w:pPr>
        <w:spacing w:after="0"/>
      </w:pPr>
    </w:p>
    <w:p>
      <w:pPr>
        <w:pStyle w:val="Heading1"/>
      </w:pPr>
      <w:r>
        <w:t>1. Instruções</w:t>
      </w:r>
    </w:p>
    <w:p>
      <w:r>
        <w:t>Mantenha um registro por operação relevante. O ROPA deve refletir a arquitetura real, fornecedores, localização, finalidade, categorias de dados, base legal e retenção.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  <w:sz w:val="18"/>
              </w:rPr>
              <w:t>Campo</w:t>
            </w:r>
          </w:p>
        </w:tc>
        <w:tc>
          <w:tcPr>
            <w:tcW w:type="dxa" w:w="4968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  <w:sz w:val="18"/>
              </w:rPr>
              <w:t>Preenchimento</w:t>
            </w:r>
          </w:p>
        </w:tc>
      </w:tr>
      <w:tr>
        <w:tc>
          <w:tcPr>
            <w:tcW w:type="dxa" w:w="496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rPr>
                <w:sz w:val="17"/>
              </w:rPr>
              <w:t>Processo/atividade</w:t>
            </w:r>
          </w:p>
        </w:tc>
        <w:tc>
          <w:tcPr>
            <w:tcW w:type="dxa" w:w="496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rPr>
                <w:sz w:val="17"/>
              </w:rPr>
              <w:t>[Ex.: Gestão de pacientes]</w:t>
            </w:r>
          </w:p>
        </w:tc>
      </w:tr>
      <w:tr>
        <w:tc>
          <w:tcPr>
            <w:tcW w:type="dxa" w:w="496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rPr>
                <w:sz w:val="17"/>
              </w:rPr>
              <w:t>Controlador</w:t>
            </w:r>
          </w:p>
        </w:tc>
        <w:tc>
          <w:tcPr>
            <w:tcW w:type="dxa" w:w="496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rPr>
                <w:sz w:val="17"/>
              </w:rPr>
              <w:t>[Clínica / Prestadora]</w:t>
            </w:r>
          </w:p>
        </w:tc>
      </w:tr>
      <w:tr>
        <w:tc>
          <w:tcPr>
            <w:tcW w:type="dxa" w:w="496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rPr>
                <w:sz w:val="17"/>
              </w:rPr>
              <w:t>Operador</w:t>
            </w:r>
          </w:p>
        </w:tc>
        <w:tc>
          <w:tcPr>
            <w:tcW w:type="dxa" w:w="496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rPr>
                <w:sz w:val="17"/>
              </w:rPr>
              <w:t>[Prestadora / terceiro]</w:t>
            </w:r>
          </w:p>
        </w:tc>
      </w:tr>
      <w:tr>
        <w:tc>
          <w:tcPr>
            <w:tcW w:type="dxa" w:w="496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rPr>
                <w:sz w:val="17"/>
              </w:rPr>
              <w:t>Finalidade</w:t>
            </w:r>
          </w:p>
        </w:tc>
        <w:tc>
          <w:tcPr>
            <w:tcW w:type="dxa" w:w="496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rPr>
                <w:sz w:val="17"/>
              </w:rPr>
              <w:t>[Finalidade específica]</w:t>
            </w:r>
          </w:p>
        </w:tc>
      </w:tr>
      <w:tr>
        <w:tc>
          <w:tcPr>
            <w:tcW w:type="dxa" w:w="496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rPr>
                <w:sz w:val="17"/>
              </w:rPr>
              <w:t>Base legal</w:t>
            </w:r>
          </w:p>
        </w:tc>
        <w:tc>
          <w:tcPr>
            <w:tcW w:type="dxa" w:w="496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rPr>
                <w:sz w:val="17"/>
              </w:rPr>
              <w:t>[Art. 7º ou 11 da LGPD, conforme aplicável]</w:t>
            </w:r>
          </w:p>
        </w:tc>
      </w:tr>
      <w:tr>
        <w:tc>
          <w:tcPr>
            <w:tcW w:type="dxa" w:w="496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rPr>
                <w:sz w:val="17"/>
              </w:rPr>
              <w:t>Titulares</w:t>
            </w:r>
          </w:p>
        </w:tc>
        <w:tc>
          <w:tcPr>
            <w:tcW w:type="dxa" w:w="496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rPr>
                <w:sz w:val="17"/>
              </w:rPr>
              <w:t>[Pacientes / profissionais / usuários]</w:t>
            </w:r>
          </w:p>
        </w:tc>
      </w:tr>
      <w:tr>
        <w:tc>
          <w:tcPr>
            <w:tcW w:type="dxa" w:w="496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rPr>
                <w:sz w:val="17"/>
              </w:rPr>
              <w:t>Dados comuns</w:t>
            </w:r>
          </w:p>
        </w:tc>
        <w:tc>
          <w:tcPr>
            <w:tcW w:type="dxa" w:w="496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rPr>
                <w:sz w:val="17"/>
              </w:rPr>
              <w:t>[Categorias]</w:t>
            </w:r>
          </w:p>
        </w:tc>
      </w:tr>
      <w:tr>
        <w:tc>
          <w:tcPr>
            <w:tcW w:type="dxa" w:w="496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rPr>
                <w:sz w:val="17"/>
              </w:rPr>
              <w:t>Dados sensíveis</w:t>
            </w:r>
          </w:p>
        </w:tc>
        <w:tc>
          <w:tcPr>
            <w:tcW w:type="dxa" w:w="496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rPr>
                <w:sz w:val="17"/>
              </w:rPr>
              <w:t>[Categorias]</w:t>
            </w:r>
          </w:p>
        </w:tc>
      </w:tr>
      <w:tr>
        <w:tc>
          <w:tcPr>
            <w:tcW w:type="dxa" w:w="496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rPr>
                <w:sz w:val="17"/>
              </w:rPr>
              <w:t>Suboperadores</w:t>
            </w:r>
          </w:p>
        </w:tc>
        <w:tc>
          <w:tcPr>
            <w:tcW w:type="dxa" w:w="496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rPr>
                <w:sz w:val="17"/>
              </w:rPr>
              <w:t>[Lista]</w:t>
            </w:r>
          </w:p>
        </w:tc>
      </w:tr>
      <w:tr>
        <w:tc>
          <w:tcPr>
            <w:tcW w:type="dxa" w:w="496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rPr>
                <w:sz w:val="17"/>
              </w:rPr>
              <w:t>Origem</w:t>
            </w:r>
          </w:p>
        </w:tc>
        <w:tc>
          <w:tcPr>
            <w:tcW w:type="dxa" w:w="496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rPr>
                <w:sz w:val="17"/>
              </w:rPr>
              <w:t>[Titular / clínica / usuário / integração]</w:t>
            </w:r>
          </w:p>
        </w:tc>
      </w:tr>
      <w:tr>
        <w:tc>
          <w:tcPr>
            <w:tcW w:type="dxa" w:w="496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rPr>
                <w:sz w:val="17"/>
              </w:rPr>
              <w:t>Destinatários</w:t>
            </w:r>
          </w:p>
        </w:tc>
        <w:tc>
          <w:tcPr>
            <w:tcW w:type="dxa" w:w="496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rPr>
                <w:sz w:val="17"/>
              </w:rPr>
              <w:t>[Quem recebe]</w:t>
            </w:r>
          </w:p>
        </w:tc>
      </w:tr>
      <w:tr>
        <w:tc>
          <w:tcPr>
            <w:tcW w:type="dxa" w:w="496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rPr>
                <w:sz w:val="17"/>
              </w:rPr>
              <w:t>Transferência internacional</w:t>
            </w:r>
          </w:p>
        </w:tc>
        <w:tc>
          <w:tcPr>
            <w:tcW w:type="dxa" w:w="496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rPr>
                <w:sz w:val="17"/>
              </w:rPr>
              <w:t>[Sim/Não + mecanismo]</w:t>
            </w:r>
          </w:p>
        </w:tc>
      </w:tr>
      <w:tr>
        <w:tc>
          <w:tcPr>
            <w:tcW w:type="dxa" w:w="496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rPr>
                <w:sz w:val="17"/>
              </w:rPr>
              <w:t>Retenção</w:t>
            </w:r>
          </w:p>
        </w:tc>
        <w:tc>
          <w:tcPr>
            <w:tcW w:type="dxa" w:w="496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rPr>
                <w:sz w:val="17"/>
              </w:rPr>
              <w:t>[Critério]</w:t>
            </w:r>
          </w:p>
        </w:tc>
      </w:tr>
      <w:tr>
        <w:tc>
          <w:tcPr>
            <w:tcW w:type="dxa" w:w="496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rPr>
                <w:sz w:val="17"/>
              </w:rPr>
              <w:t>Medidas de segurança</w:t>
            </w:r>
          </w:p>
        </w:tc>
        <w:tc>
          <w:tcPr>
            <w:tcW w:type="dxa" w:w="496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rPr>
                <w:sz w:val="17"/>
              </w:rPr>
              <w:t>[Controles]</w:t>
            </w:r>
          </w:p>
        </w:tc>
      </w:tr>
      <w:tr>
        <w:tc>
          <w:tcPr>
            <w:tcW w:type="dxa" w:w="496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rPr>
                <w:sz w:val="17"/>
              </w:rPr>
              <w:t>Risco</w:t>
            </w:r>
          </w:p>
        </w:tc>
        <w:tc>
          <w:tcPr>
            <w:tcW w:type="dxa" w:w="496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rPr>
                <w:sz w:val="17"/>
              </w:rPr>
              <w:t>[Baixo/Médio/Alto]</w:t>
            </w:r>
          </w:p>
        </w:tc>
      </w:tr>
      <w:tr>
        <w:tc>
          <w:tcPr>
            <w:tcW w:type="dxa" w:w="496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rPr>
                <w:sz w:val="17"/>
              </w:rPr>
              <w:t>Última revisão</w:t>
            </w:r>
          </w:p>
        </w:tc>
        <w:tc>
          <w:tcPr>
            <w:tcW w:type="dxa" w:w="496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rPr>
                <w:sz w:val="17"/>
              </w:rPr>
              <w:t>[DD/MM/AAAA]</w:t>
            </w:r>
          </w:p>
        </w:tc>
      </w:tr>
    </w:tbl>
    <w:p>
      <w:pPr>
        <w:pStyle w:val="Heading1"/>
      </w:pPr>
      <w:r>
        <w:t>2. Controles mínimos</w:t>
      </w:r>
    </w:p>
    <w:p>
      <w:pPr>
        <w:pStyle w:val="ListBullet"/>
      </w:pPr>
      <w:r>
        <w:t>Cada processo deve possuir finalidade específica.</w:t>
      </w:r>
    </w:p>
    <w:p>
      <w:pPr>
        <w:pStyle w:val="ListBullet"/>
      </w:pPr>
      <w:r>
        <w:t>Dados sensíveis devem ser explicitamente identificados.</w:t>
      </w:r>
    </w:p>
    <w:p>
      <w:pPr>
        <w:pStyle w:val="ListBullet"/>
      </w:pPr>
      <w:r>
        <w:t>A base legal deve estar vinculada ao controlador.</w:t>
      </w:r>
    </w:p>
    <w:p>
      <w:pPr>
        <w:pStyle w:val="ListBullet"/>
      </w:pPr>
      <w:r>
        <w:t>Suboperadores e transferências internacionais devem ser verificáveis.</w:t>
      </w:r>
    </w:p>
    <w:p>
      <w:pPr>
        <w:pStyle w:val="ListBullet"/>
      </w:pPr>
      <w:r>
        <w:t>Retenção deve possuir critério objetivo.</w:t>
      </w:r>
    </w:p>
    <w:p>
      <w:pPr>
        <w:pStyle w:val="ListBullet"/>
      </w:pPr>
      <w:r>
        <w:t>Riscos e medidas de segurança devem ser proporcionais ao tratamento.</w:t>
      </w:r>
    </w:p>
    <w:sectPr>
      <w:headerReference w:type="default" r:id="rId9"/>
      <w:footerReference w:type="default" r:id="rId10"/>
      <w:pgSz w:w="12240" w:h="15840"/>
      <w:pgMar w:top="1037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sz w:val="16"/>
      </w:rPr>
      <w:t xml:space="preserve">sclinic • versão 1.0 • página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  <w:jc w:val="right"/>
    </w:pPr>
    <w:r>
      <w:t>SCLINIC | DOCUMENTO JURÍDICO | USO INTERNO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pPr>
      <w:spacing w:after="60"/>
    </w:pPr>
    <w:rPr>
      <w:rFonts w:ascii="Aptos" w:hAnsi="Apto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