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42"/>
        </w:rPr>
        <w:t>POLÍTICA DE PRIVACIDADE</w:t>
      </w:r>
    </w:p>
    <w:p>
      <w:pPr>
        <w:jc w:val="center"/>
      </w:pPr>
      <w:r>
        <w:rPr>
          <w:i/>
          <w:sz w:val="21"/>
        </w:rPr>
        <w:t>sclinic — software de gestão e agendamento clínico</w:t>
      </w:r>
    </w:p>
    <w:p>
      <w:pPr>
        <w:jc w:val="center"/>
      </w:pPr>
      <w:r>
        <w:rPr>
          <w:sz w:val="18"/>
        </w:rPr>
        <w:t>Última atualização: [DD/MM/AAAA]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</w:tcPr>
          <w:p>
            <w:pPr>
              <w:pStyle w:val="Small"/>
            </w:pPr>
            <w:r>
              <w:t>Documento externo. Os campos entre colchetes devem ser preenchidos antes da publicação. Esta política não substitui o DPA/Contrato de Tratamento de Dados celebrado com a clínica controladora.</w:t>
            </w:r>
          </w:p>
        </w:tc>
      </w:tr>
    </w:tbl>
    <w:p>
      <w:pPr>
        <w:spacing w:after="0"/>
      </w:pPr>
    </w:p>
    <w:p>
      <w:pPr>
        <w:pStyle w:val="Heading1"/>
      </w:pPr>
      <w:r>
        <w:t>1. Identificação e escopo</w:t>
      </w:r>
    </w:p>
    <w:p>
      <w:r>
        <w:t>A [RAZÃO SOCIAL], inscrita no CNPJ sob nº [CNPJ], com sede em [ENDEREÇO] ("Prestadora"), disponibiliza o sclinic, software de gestão e agendamento clínico ("Serviço"). Canal de privacidade: [E-MAIL LGPD].</w:t>
      </w:r>
    </w:p>
    <w:p>
      <w:r>
        <w:t>Esta Política explica como dados pessoais são tratados no contexto do Serviço e como a Prestadora atua conforme o contexto de tratamento. Termos em maiúsculas não definidos nesta Política seguem os Termos de Uso e/ou Contrato SaaS aplicáveis.</w:t>
      </w:r>
    </w:p>
    <w:p>
      <w:pPr>
        <w:pStyle w:val="Heading1"/>
      </w:pPr>
      <w:r>
        <w:t>2. Papéis de controlador e operador</w:t>
      </w:r>
    </w:p>
    <w:p>
      <w:r>
        <w:t>A qualificação jurídica depende da operação de tratamento. A mesma entidade pode atuar como controladora em determinados tratamentos e como operadora em outros.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Contexto</w:t>
            </w:r>
          </w:p>
        </w:tc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Papel da Prestadora</w:t>
            </w:r>
          </w:p>
        </w:tc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Controlador principal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Conta SaaS, cadastro, autenticação, assinatura, cobrança da própria assinatura e suporte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Controladora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Prestadora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Dados operacionais da clínica, incluindo pacientes, agenda, prontuário e informações administrativas inseridas pela clínica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Operadora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Clínica ou profissional que determine finalidades e meios essenciais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Serviços de terceiros e subprocessadores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Conforme a atividade e o contrato com o terceiro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Definido conforme o fluxo e a função efetivamente desempenhada</w:t>
            </w:r>
          </w:p>
        </w:tc>
      </w:tr>
    </w:tbl>
    <w:p>
      <w:r>
        <w:t>A clínica ou o profissional controlador permanece responsável por definir as finalidades e hipóteses legais aplicáveis aos dados de seus pacientes. A Prestadora processa esses dados de acordo com instruções documentadas, o contrato e as configurações do Serviço.</w:t>
      </w:r>
    </w:p>
    <w:p>
      <w:pPr>
        <w:pStyle w:val="Heading1"/>
      </w:pPr>
      <w:r>
        <w:t>3. Categorias de dados</w:t>
      </w:r>
    </w:p>
    <w:p>
      <w:pPr>
        <w:pStyle w:val="ListBullet"/>
      </w:pPr>
      <w:r>
        <w:t>Conta e autenticação: nome, e-mail, telefone, credenciais, status, papéis, memberships, IP, user-agent, identificadores de sessão e registros de acesso.</w:t>
      </w:r>
    </w:p>
    <w:p>
      <w:pPr>
        <w:pStyle w:val="ListBullet"/>
      </w:pPr>
      <w:r>
        <w:t>Dados da clínica: nome empresarial, nome fantasia, documento, contatos, endereço, logotipo, fuso horário e configurações.</w:t>
      </w:r>
    </w:p>
    <w:p>
      <w:pPr>
        <w:pStyle w:val="ListBullet"/>
      </w:pPr>
      <w:r>
        <w:t>Profissionais: identificação, conselho profissional, especialidade, contatos e vínculos com clínicas.</w:t>
      </w:r>
    </w:p>
    <w:p>
      <w:pPr>
        <w:pStyle w:val="ListBullet"/>
      </w:pPr>
      <w:r>
        <w:t>Pacientes: identificação, documentos, nome social, contatos, endereço, informações de emergência e notas administrativas, conforme inseridas pela clínica.</w:t>
      </w:r>
    </w:p>
    <w:p>
      <w:pPr>
        <w:pStyle w:val="ListBullet"/>
      </w:pPr>
      <w:r>
        <w:t>Dados pessoais sensíveis de saúde: informações clínicas, sinais vitais, alergias, anotações, prescrições, receitas, documentos clínicos e demais informações relacionadas à saúde que a clínica registre.</w:t>
      </w:r>
    </w:p>
    <w:p>
      <w:pPr>
        <w:pStyle w:val="ListBullet"/>
      </w:pPr>
      <w:r>
        <w:t>Agenda e atendimento: horários, status, fila/espera, duração e metadados necessários à operação.</w:t>
      </w:r>
    </w:p>
    <w:p>
      <w:pPr>
        <w:pStyle w:val="ListBullet"/>
      </w:pPr>
      <w:r>
        <w:t>Financeiro clínico: cobranças, valores, status e vínculos com pacientes/atendimentos. Dados completos de cartão não são intencionalmente armazenados pelo sclinic quando o pagamento é processado por provedor especializado.</w:t>
      </w:r>
    </w:p>
    <w:p>
      <w:pPr>
        <w:pStyle w:val="ListBullet"/>
      </w:pPr>
      <w:r>
        <w:t>Billing SaaS: identificadores de cliente/assinatura, plano, status de pagamento e eventos de faturamento fornecidos pelo processador de pagamentos.</w:t>
      </w:r>
    </w:p>
    <w:p>
      <w:pPr>
        <w:pStyle w:val="ListBullet"/>
      </w:pPr>
      <w:r>
        <w:t>Auditoria e segurança: ator, ação, entidade, timestamps, alterações relevantes, eventos de segurança e metadados técnicos.</w:t>
      </w:r>
    </w:p>
    <w:p>
      <w:pPr>
        <w:pStyle w:val="Heading1"/>
      </w:pPr>
      <w:r>
        <w:t>4. Dados sensíveis de saúde</w:t>
      </w:r>
    </w:p>
    <w:p>
      <w:r>
        <w:t>Dados referentes à saúde são dados pessoais sensíveis. O sclinic não utiliza prontuários e demais dados clínicos para publicidade comportamental, comercialização de bases, enriquecimento de cadastros ou treinamento de modelos de inteligência artificial, salvo se houver tratamento especificamente previsto em instrumento jurídico e hipótese legal aplicável, de forma compatível com a LGPD.</w:t>
      </w:r>
    </w:p>
    <w:p>
      <w:r>
        <w:t>Quando a Prestadora atuar como operadora, a clínica é responsável por determinar a finalidade, a hipótese legal e as condições de utilização dos dados clínicos. A Prestadora limita o processamento ao necessário para fornecer o Serviço, cumprir instruções documentadas e atender obrigações legais aplicáveis.</w:t>
      </w:r>
    </w:p>
    <w:p>
      <w:pPr>
        <w:pStyle w:val="Heading1"/>
      </w:pPr>
      <w:r>
        <w:t>5. Finalidades e bases legais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Tratamento</w:t>
            </w:r>
          </w:p>
        </w:tc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Finalidade</w:t>
            </w:r>
          </w:p>
        </w:tc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Base legal — regra geral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Conta e autenticação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Criar e administrar a conta, autenticar usuários e manter sessões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Execução de contrato e, conforme o caso, legítimo interesse/obrigação legal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Segurança e prevenção a fraude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Detectar abuso, acessos indevidos, incidentes e ameaças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Legítimo interesse e/ou obrigação legal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Assinatura e billing SaaS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Contratar, cobrar, renovar e administrar o plano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Execução de contrato e/ou obrigação legal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E-mails transacionais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Verificação, recuperação de acesso, convites e comunicações necessárias ao serviço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Execução de contrato e/ou legítimo interesse, conforme a mensagem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Dados clínicos da clínica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Hospedagem e processamento sob instruções da controladora-clínica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Hipótese legal definida pela clínica; a Prestadora atua como operadora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Auditoria e registros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Rastreabilidade, segurança, defesa de direitos e cumprimento de obrigações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Legítimo interesse e/ou obrigação legal, conforme o registro</w:t>
            </w:r>
          </w:p>
        </w:tc>
      </w:tr>
    </w:tbl>
    <w:p>
      <w:r>
        <w:t>Quando o consentimento for a base legal aplicável, o tratamento observará os requisitos legais específicos e o titular poderá revogá-lo nos termos da LGPD, sem prejuízo dos efeitos de tratamentos realizados anteriormente.</w:t>
      </w:r>
    </w:p>
    <w:p>
      <w:pPr>
        <w:pStyle w:val="Heading1"/>
      </w:pPr>
      <w:r>
        <w:t>6. Compartilhamento e subprocessadores</w:t>
      </w:r>
    </w:p>
    <w:p>
      <w:r>
        <w:t>A Prestadora não comercializa dados pessoais de pacientes para publicidade ou formação de bases comerciais. Compartilhamentos limitam-se ao necessário à prestação do Serviço, ao cumprimento de obrigações legais, à segurança, ao exercício regular de direitos ou a instruções da controladora.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Fornecedor/serviço</w:t>
            </w:r>
          </w:p>
        </w:tc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Finalidade</w:t>
            </w:r>
          </w:p>
        </w:tc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Neon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Banco de dados PostgreSQL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Infraestrutura de dados; região e condições conforme configuração e contrato vigentes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Vercel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Hospedagem e recursos de performance/analytics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Tratamento técnico e métricas conforme serviços efetivamente habilitados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Resend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Envio de e-mails transacionais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Mensagens necessárias ao Serviço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Stripe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Processamento de assinatura e pagamentos do SaaS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O papel jurídico e o fluxo de dados devem seguir os termos e configurações contratados</w:t>
            </w:r>
          </w:p>
        </w:tc>
      </w:tr>
    </w:tbl>
    <w:p>
      <w:r>
        <w:t>A lista de fornecedores poderá ser atualizada para refletir mudanças operacionais. Quando necessário, alterações relevantes serão comunicadas conforme contrato e legislação aplicáveis.</w:t>
      </w:r>
    </w:p>
    <w:p>
      <w:pPr>
        <w:pStyle w:val="Heading1"/>
      </w:pPr>
      <w:r>
        <w:t>7. Transferências internacionais</w:t>
      </w:r>
    </w:p>
    <w:p>
      <w:r>
        <w:t>Quando houver transferência internacional de dados, a Prestadora adotará mecanismo válido previsto na LGPD e na regulamentação da ANPD, considerando, conforme o caso, decisão de adequação, cláusulas-padrão contratuais, normas corporativas globais ou outra hipótese legal aplicável. O controlador verificará a base legal e o mecanismo de transferência; a operadora prestará as informações de que dispuser para essa avaliação.</w:t>
      </w:r>
    </w:p>
    <w:p>
      <w:pPr>
        <w:pStyle w:val="Heading1"/>
      </w:pPr>
      <w:r>
        <w:t>8. Cookies, sessão e tecnologias semelhantes</w:t>
      </w:r>
    </w:p>
    <w:p>
      <w:r>
        <w:t>O Serviço utiliza tecnologias essenciais para autenticação, sessão, segurança e funcionamento da aplicação. Recursos analíticos ou de performance somente serão utilizados de acordo com a configuração efetivamente habilitada e com a Política de Cookies. A desativação de tecnologias essenciais pode impedir recursos como login e manutenção da sessão.</w:t>
      </w:r>
    </w:p>
    <w:p>
      <w:pPr>
        <w:pStyle w:val="Heading1"/>
      </w:pPr>
      <w:r>
        <w:t>9. Retenção, exclusão e backups</w:t>
      </w:r>
    </w:p>
    <w:p>
      <w:r>
        <w:t>Os dados são mantidos pelo período necessário às finalidades informadas, ao contrato e às obrigações legais. Determinados registros podem utilizar exclusão lógica (soft-delete) e trilhas de auditoria. Backups seguem ciclos próprios de retenção e podem permanecer por período limitado após uma exclusão lógica, protegidos contra uso operacional indevido.</w:t>
      </w:r>
    </w:p>
    <w:p>
      <w:r>
        <w:t>Quando a Prestadora atuar como controladora, pedidos de exclusão serão avaliados conforme a LGPD e demais obrigações legais. Quando atuar como operadora, a solicitação será tratada por meio da clínica controladora, salvo obrigação legal direta da Prestadora.</w:t>
      </w:r>
    </w:p>
    <w:p>
      <w:pPr>
        <w:pStyle w:val="Heading1"/>
      </w:pPr>
      <w:r>
        <w:t>10. Direitos dos titulares</w:t>
      </w:r>
    </w:p>
    <w:p>
      <w:r>
        <w:t>Nos termos e limites da LGPD e da regulamentação aplicável, o titular poderá solicitar, conforme o caso, confirmação da existência de tratamento, acesso, correção, anonimização, bloqueio ou eliminação, portabilidade, informação sobre compartilhamentos, revogação do consentimento e oposição a tratamentos realizados em desconformidade.</w:t>
      </w:r>
    </w:p>
    <w:p>
      <w:r>
        <w:t>Para dados sob responsabilidade da Prestadora como controladora: [E-MAIL LGPD]. Para dados clínicos controlados pela clínica: o titular deverá preferencialmente dirigir-se à clínica controladora; a Prestadora prestará apoio operacional quando solicitado.</w:t>
      </w:r>
    </w:p>
    <w:p>
      <w:r>
        <w:t>O titular também poderá apresentar petição à Autoridade Nacional de Proteção de Dados — ANPD, nos termos da legislação aplicável.</w:t>
      </w:r>
    </w:p>
    <w:p>
      <w:pPr>
        <w:pStyle w:val="Heading1"/>
      </w:pPr>
      <w:r>
        <w:t>11. Segurança</w:t>
      </w:r>
    </w:p>
    <w:p>
      <w:r>
        <w:t>A Prestadora adota medidas técnicas e administrativas proporcionais ao risco, incluindo controle de acesso por papéis, isolamento lógico entre clínicas, autenticação e gestão de sessão, princípio do menor privilégio, registro de eventos relevantes, proteção de credenciais, backups e procedimentos de resposta a incidentes. Nenhum sistema é absolutamente seguro; clínicas e usuários também devem proteger dispositivos, credenciais, permissões e integrações.</w:t>
      </w:r>
    </w:p>
    <w:p>
      <w:pPr>
        <w:pStyle w:val="Heading1"/>
      </w:pPr>
      <w:r>
        <w:t>12. Incidentes de segurança</w:t>
      </w:r>
    </w:p>
    <w:p>
      <w:r>
        <w:t>A Prestadora mantém procedimento de resposta a incidentes. Quando atuar como operadora, comunicará a clínica controladora sem demora indevida e com as informações de que dispuser para permitir que ela avalie e cumpra as obrigações perante titulares e ANPD. Quando atuar como controladora, seguirá diretamente os requisitos legais e regulamentares aplicáveis.</w:t>
      </w:r>
    </w:p>
    <w:p>
      <w:pPr>
        <w:pStyle w:val="Heading1"/>
      </w:pPr>
      <w:r>
        <w:t>13. Crianças e adolescentes</w:t>
      </w:r>
    </w:p>
    <w:p>
      <w:r>
        <w:t>O cadastro de contas do Serviço é destinado a profissionais, gestores e colaboradores autorizados. Dados de pacientes crianças e adolescentes podem ser inseridos pela clínica no exercício de sua atividade. Nessas hipóteses, a clínica é responsável pelo tratamento adequado, pelas informações fornecidas aos responsáveis e pelo atendimento ao melhor interesse da criança e do adolescente, observada a LGPD e demais legislação aplicável.</w:t>
      </w:r>
    </w:p>
    <w:p>
      <w:pPr>
        <w:pStyle w:val="Heading1"/>
      </w:pPr>
      <w:r>
        <w:t>14. Encarregado e canal de privacidade</w:t>
      </w:r>
    </w:p>
    <w:p>
      <w:r>
        <w:t>Encarregado: [NOME OU EMPRESA DO ENCARREGADO]. Canal: [E-MAIL LGPD]. Endereço: [ENDEREÇO]. O contato poderá ser utilizado para dúvidas de privacidade, solicitações de titulares e comunicações relacionadas à LGPD.</w:t>
      </w:r>
    </w:p>
    <w:p>
      <w:pPr>
        <w:pStyle w:val="Heading1"/>
      </w:pPr>
      <w:r>
        <w:t>15. Alterações</w:t>
      </w:r>
    </w:p>
    <w:p>
      <w:r>
        <w:t>Esta Política poderá ser atualizada para refletir alterações legais, regulatórias, operacionais ou do produto. A versão publicada informará a data da última atualização e, quando apropriado, alterações relevantes serão comunicadas por meios razoáveis.</w:t>
      </w:r>
    </w:p>
    <w:p>
      <w:pPr>
        <w:pStyle w:val="Heading1"/>
      </w:pPr>
      <w:r>
        <w:t>Referências normativas principais</w:t>
      </w:r>
    </w:p>
    <w:p>
      <w:pPr>
        <w:pStyle w:val="ListBullet"/>
      </w:pPr>
      <w:r>
        <w:t>Lei nº 13.709/2018 (LGPD), especialmente arts. 5º, 6º, 7º, 11, 18, 33 a 36, 41, 46 a 49.</w:t>
      </w:r>
    </w:p>
    <w:p>
      <w:pPr>
        <w:pStyle w:val="ListBullet"/>
      </w:pPr>
      <w:r>
        <w:t>Resolução CD/ANPD nº 18/2024 — Regulamento sobre a atuação do encarregado pelo tratamento de dados pessoais.</w:t>
      </w:r>
    </w:p>
    <w:p>
      <w:pPr>
        <w:pStyle w:val="ListBullet"/>
      </w:pPr>
      <w:r>
        <w:t>Resolução CD/ANPD nº 15/2024 — Regulamento de Comunicação de Incidente de Segurança.</w:t>
      </w:r>
    </w:p>
    <w:p>
      <w:pPr>
        <w:pStyle w:val="ListBullet"/>
      </w:pPr>
      <w:r>
        <w:t>Resolução CD/ANPD nº 19/2024 — Regulamento de Transferência Internacional de Dados e cláusulas-padrão contratuais.</w:t>
      </w:r>
    </w:p>
    <w:p>
      <w:pPr>
        <w:pStyle w:val="ListBullet"/>
      </w:pPr>
      <w:r>
        <w:t>Resolução CD/ANPD nº 2/2022, com alterações posteriores — agentes de tratamento de pequeno porte, quando aplicável.</w:t>
      </w:r>
    </w:p>
    <w:p>
      <w:pPr>
        <w:pStyle w:val="ListBullet"/>
      </w:pPr>
      <w:r>
        <w:t>Guia Orientativo da ANPD sobre Cookies e Proteção de Dados Pessoais, quando aplicável à operação.</w:t>
      </w:r>
    </w:p>
    <w:sectPr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sclinic • versão 1.0 •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SCLINIC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