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2"/>
        </w:rPr>
        <w:t>POLÍTICA DE SEGURANÇA DA INFORMAÇÃO</w:t>
      </w:r>
    </w:p>
    <w:p>
      <w:pPr>
        <w:jc w:val="center"/>
      </w:pPr>
      <w:r>
        <w:rPr>
          <w:i/>
          <w:sz w:val="21"/>
        </w:rPr>
        <w:t>sclinic — documento interno de governança</w:t>
      </w:r>
    </w:p>
    <w:p>
      <w:pPr>
        <w:jc w:val="center"/>
      </w:pPr>
      <w:r>
        <w:rPr>
          <w:sz w:val="18"/>
        </w:rPr>
        <w:t>Última atualização: [DD/MM/AAAA]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</w:tcPr>
          <w:p>
            <w:pPr>
              <w:pStyle w:val="Small"/>
            </w:pPr>
            <w:r>
              <w:t>Documento interno. Deve ser ajustado à infraestrutura real. Não publicar detalhes operacionais que, por segurança, devam permanecer confidenciais.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Estabelecer princípios e controles mínimos para proteger dados, sistemas, credenciais e infraestrutura do sclinic contra acesso não autorizado, perda, alteração, indisponibilidade ou tratamento inadequado.</w:t>
      </w:r>
    </w:p>
    <w:p>
      <w:pPr>
        <w:pStyle w:val="Heading1"/>
      </w:pPr>
      <w:r>
        <w:t>2. Princípios</w:t>
      </w:r>
    </w:p>
    <w:p>
      <w:pPr>
        <w:pStyle w:val="ListBullet"/>
      </w:pPr>
      <w:r>
        <w:t>Privilégio mínimo.</w:t>
      </w:r>
    </w:p>
    <w:p>
      <w:pPr>
        <w:pStyle w:val="ListBullet"/>
      </w:pPr>
      <w:r>
        <w:t>Defesa em profundidade.</w:t>
      </w:r>
    </w:p>
    <w:p>
      <w:pPr>
        <w:pStyle w:val="ListBullet"/>
      </w:pPr>
      <w:r>
        <w:t>Segregação por tenant.</w:t>
      </w:r>
    </w:p>
    <w:p>
      <w:pPr>
        <w:pStyle w:val="ListBullet"/>
      </w:pPr>
      <w:r>
        <w:t>Confidencialidade, integridade e disponibilidade.</w:t>
      </w:r>
    </w:p>
    <w:p>
      <w:pPr>
        <w:pStyle w:val="ListBullet"/>
      </w:pPr>
      <w:r>
        <w:t>Privacy by design e by default.</w:t>
      </w:r>
    </w:p>
    <w:p>
      <w:pPr>
        <w:pStyle w:val="ListBullet"/>
      </w:pPr>
      <w:r>
        <w:t>Rastreabilidade de operações relevantes.</w:t>
      </w:r>
    </w:p>
    <w:p>
      <w:pPr>
        <w:pStyle w:val="ListBullet"/>
      </w:pPr>
      <w:r>
        <w:t>Gestão baseada em risco.</w:t>
      </w:r>
    </w:p>
    <w:p>
      <w:pPr>
        <w:pStyle w:val="Heading1"/>
      </w:pPr>
      <w:r>
        <w:t>3. Controle de acesso</w:t>
      </w:r>
    </w:p>
    <w:p>
      <w:pPr>
        <w:pStyle w:val="ListBullet"/>
      </w:pPr>
      <w:r>
        <w:t>Usuários devem receber apenas permissões necessárias à função.</w:t>
      </w:r>
    </w:p>
    <w:p>
      <w:pPr>
        <w:pStyle w:val="ListBullet"/>
      </w:pPr>
      <w:r>
        <w:t>Acesso de administradores deve ser restrito e revisado periodicamente.</w:t>
      </w:r>
    </w:p>
    <w:p>
      <w:pPr>
        <w:pStyle w:val="ListBullet"/>
      </w:pPr>
      <w:r>
        <w:t>Credenciais não podem ser compartilhadas.</w:t>
      </w:r>
    </w:p>
    <w:p>
      <w:pPr>
        <w:pStyle w:val="ListBullet"/>
      </w:pPr>
      <w:r>
        <w:t>Tokens, chaves e segredos devem ser armazenados em mecanismos apropriados.</w:t>
      </w:r>
    </w:p>
    <w:p>
      <w:pPr>
        <w:pStyle w:val="ListBullet"/>
      </w:pPr>
      <w:r>
        <w:t>Revogação de acesso deve ocorrer na saída ou mudança de função.</w:t>
      </w:r>
    </w:p>
    <w:p>
      <w:pPr>
        <w:pStyle w:val="Heading1"/>
      </w:pPr>
      <w:r>
        <w:t>4. Isolamento multi-tenant</w:t>
      </w:r>
    </w:p>
    <w:p>
      <w:r>
        <w:t>Toda operação de acesso a dados clínicos deve validar server-side a associação entre usuário, membership, tenant, papel e recurso. O frontend não deve ser considerado mecanismo de autorização. Consultas e mutações devem aplicar filtros e políticas de autorização no servidor.</w:t>
      </w:r>
    </w:p>
    <w:p>
      <w:pPr>
        <w:pStyle w:val="Heading1"/>
      </w:pPr>
      <w:r>
        <w:t>5. Desenvolvimento seguro</w:t>
      </w:r>
    </w:p>
    <w:p>
      <w:pPr>
        <w:pStyle w:val="ListBullet"/>
      </w:pPr>
      <w:r>
        <w:t>Revisão de código para mudanças sensíveis.</w:t>
      </w:r>
    </w:p>
    <w:p>
      <w:pPr>
        <w:pStyle w:val="ListBullet"/>
      </w:pPr>
      <w:r>
        <w:t>Validação de entrada e autorização server-side.</w:t>
      </w:r>
    </w:p>
    <w:p>
      <w:pPr>
        <w:pStyle w:val="ListBullet"/>
      </w:pPr>
      <w:r>
        <w:t>Proteção de segredos e variáveis de ambiente.</w:t>
      </w:r>
    </w:p>
    <w:p>
      <w:pPr>
        <w:pStyle w:val="ListBullet"/>
      </w:pPr>
      <w:r>
        <w:t>Dependências monitoradas e atualizadas.</w:t>
      </w:r>
    </w:p>
    <w:p>
      <w:pPr>
        <w:pStyle w:val="ListBullet"/>
      </w:pPr>
      <w:r>
        <w:t>Testes automatizados de autorização e isolamento de tenants.</w:t>
      </w:r>
    </w:p>
    <w:p>
      <w:pPr>
        <w:pStyle w:val="ListBullet"/>
      </w:pPr>
      <w:r>
        <w:t>Logs sem exposição de prontuário, senhas, tokens ou segredos desnecessários.</w:t>
      </w:r>
    </w:p>
    <w:p>
      <w:pPr>
        <w:pStyle w:val="Heading1"/>
      </w:pPr>
      <w:r>
        <w:t>6. Criptografia</w:t>
      </w:r>
    </w:p>
    <w:p>
      <w:r>
        <w:t>Dados devem ser protegidos em trânsito por protocolos seguros. Credenciais de usuário devem ser armazenadas com hash apropriado para senhas; não devem ser armazenadas em texto aberto. Segredos e chaves devem seguir mecanismo de armazenamento seguro.</w:t>
      </w:r>
    </w:p>
    <w:p>
      <w:pPr>
        <w:pStyle w:val="Heading1"/>
      </w:pPr>
      <w:r>
        <w:t>7. Logs e auditoria</w:t>
      </w:r>
    </w:p>
    <w:p>
      <w:r>
        <w:t>Logs devem registrar eventos necessários à segurança, diagnóstico e auditoria, evitando conteúdo clínico desnecessário. Registros de auditoria devem considerar integridade, acesso restrito e retenção proporcional à finalidade.</w:t>
      </w:r>
    </w:p>
    <w:p>
      <w:pPr>
        <w:pStyle w:val="Heading1"/>
      </w:pPr>
      <w:r>
        <w:t>8. Backups e recuperação</w:t>
      </w:r>
    </w:p>
    <w:p>
      <w:pPr>
        <w:pStyle w:val="ListBullet"/>
      </w:pPr>
      <w:r>
        <w:t>Backups devem ser realizados segundo criticidade e arquitetura.</w:t>
      </w:r>
    </w:p>
    <w:p>
      <w:pPr>
        <w:pStyle w:val="ListBullet"/>
      </w:pPr>
      <w:r>
        <w:t>Acesso aos backups deve ser restrito.</w:t>
      </w:r>
    </w:p>
    <w:p>
      <w:pPr>
        <w:pStyle w:val="ListBullet"/>
      </w:pPr>
      <w:r>
        <w:t>Testes de restauração devem ocorrer periodicamente.</w:t>
      </w:r>
    </w:p>
    <w:p>
      <w:pPr>
        <w:pStyle w:val="ListBullet"/>
      </w:pPr>
      <w:r>
        <w:t>Ciclos de retenção devem estar documentados.</w:t>
      </w:r>
    </w:p>
    <w:p>
      <w:pPr>
        <w:pStyle w:val="ListBullet"/>
      </w:pPr>
      <w:r>
        <w:t>A eliminação solicitada não implica necessariamente remoção imediata de cópias em backups ainda dentro do ciclo técnico, desde que protegidas e sem uso operacional indevido.</w:t>
      </w:r>
    </w:p>
    <w:p>
      <w:pPr>
        <w:pStyle w:val="Heading1"/>
      </w:pPr>
      <w:r>
        <w:t>9. Gestão de vulnerabilidades</w:t>
      </w:r>
    </w:p>
    <w:p>
      <w:r>
        <w:t>Vulnerabilidades devem ser identificadas, classificadas por risco e tratadas segundo criticidade. Vulnerabilidades críticas que possam comprometer isolamento de tenants ou dados de saúde devem receber prioridade máxima.</w:t>
      </w:r>
    </w:p>
    <w:p>
      <w:pPr>
        <w:pStyle w:val="Heading1"/>
      </w:pPr>
      <w:r>
        <w:t>10. Suboperadores</w:t>
      </w:r>
    </w:p>
    <w:p>
      <w:r>
        <w:t>Antes da utilização de fornecedor que trate dados pessoais, deve ser avaliada a finalidade, categoria de dados, segurança, localização, transferência internacional, subcontratação e obrigações contratuais.</w:t>
      </w:r>
    </w:p>
    <w:p>
      <w:pPr>
        <w:pStyle w:val="Heading1"/>
      </w:pPr>
      <w:r>
        <w:t>11. Incidentes</w:t>
      </w:r>
    </w:p>
    <w:p>
      <w:r>
        <w:t>Qualquer suspeita de acesso não autorizado, exfiltração, indisponibilidade maliciosa, exposição acidental ou alteração indevida de dados deve ser tratada pelo Procedimento de Resposta a Incidentes. Incidentes com dados pessoais devem ser classificados também para fins da Resolução CD/ANPD nº 15/2024.</w:t>
      </w:r>
    </w:p>
    <w:p>
      <w:pPr>
        <w:pStyle w:val="Heading1"/>
      </w:pPr>
      <w:r>
        <w:t>12. Revisão</w:t>
      </w:r>
    </w:p>
    <w:p>
      <w:r>
        <w:t>Esta política deve ser revisada ao menos anualmente e sempre que houver alteração relevante de arquitetura, processamento, fornecedor crítico ou requisito regulatório.</w:t>
      </w:r>
    </w:p>
    <w:sectPr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sclinic • versão 1.0 •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SCLINIC | DOCUMENTO JURÍDICO | 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