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42"/>
        </w:rPr>
        <w:t>POLÍTICA DE COOKIES</w:t>
      </w:r>
    </w:p>
    <w:p>
      <w:pPr>
        <w:jc w:val="center"/>
      </w:pPr>
      <w:r>
        <w:rPr>
          <w:i/>
          <w:sz w:val="21"/>
        </w:rPr>
        <w:t>sclinic — uso de cookies e tecnologias semelhantes</w:t>
      </w:r>
    </w:p>
    <w:p>
      <w:pPr>
        <w:jc w:val="center"/>
      </w:pPr>
      <w:r>
        <w:rPr>
          <w:sz w:val="18"/>
        </w:rPr>
        <w:t>Última atualização: [DD/MM/AAAA]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20" w:type="dxa"/>
              <w:start w:w="140" w:type="dxa"/>
              <w:bottom w:w="120" w:type="dxa"/>
              <w:end w:w="140" w:type="dxa"/>
            </w:tcMar>
            <w:shd w:fill="EEF4FF"/>
          </w:tcPr>
          <w:p>
            <w:pPr>
              <w:pStyle w:val="Small"/>
            </w:pPr>
            <w:r>
              <w:t>Esta Política deve ser ajustada à configuração real do sclinic. Não declare cookies ou tecnologias que não estejam efetivamente presentes no produto.</w:t>
            </w:r>
          </w:p>
        </w:tc>
      </w:tr>
    </w:tbl>
    <w:p>
      <w:pPr>
        <w:spacing w:after="0"/>
      </w:pPr>
    </w:p>
    <w:p>
      <w:pPr>
        <w:pStyle w:val="Heading1"/>
      </w:pPr>
      <w:r>
        <w:t>1. O que são cookies</w:t>
      </w:r>
    </w:p>
    <w:p>
      <w:r>
        <w:t>Cookies e tecnologias semelhantes são pequenos identificadores ou mecanismos armazenados ou utilizados no dispositivo do usuário para permitir funcionalidades, segurança, medição de desempenho e outras finalidades.</w:t>
      </w:r>
    </w:p>
    <w:p>
      <w:pPr>
        <w:pStyle w:val="Heading1"/>
      </w:pPr>
      <w:r>
        <w:t>2. Categorias utilizadas pelo sclinic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Categoria</w:t>
            </w:r>
          </w:p>
        </w:tc>
        <w:tc>
          <w:tcPr>
            <w:tcW w:type="dxa" w:w="248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Finalidade</w:t>
            </w:r>
          </w:p>
        </w:tc>
        <w:tc>
          <w:tcPr>
            <w:tcW w:type="dxa" w:w="248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Obrigatório?</w:t>
            </w:r>
          </w:p>
        </w:tc>
        <w:tc>
          <w:tcPr>
            <w:tcW w:type="dxa" w:w="248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Exemplos</w:t>
            </w:r>
          </w:p>
        </w:tc>
      </w:tr>
      <w:tr>
        <w:tc>
          <w:tcPr>
            <w:tcW w:type="dxa" w:w="24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Essenciais</w:t>
            </w:r>
          </w:p>
        </w:tc>
        <w:tc>
          <w:tcPr>
            <w:tcW w:type="dxa" w:w="24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Autenticação, sessão, segurança, prevenção de abuso e funcionamento básico</w:t>
            </w:r>
          </w:p>
        </w:tc>
        <w:tc>
          <w:tcPr>
            <w:tcW w:type="dxa" w:w="24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24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Sessão, CSRF, preferências técnicas indispensáveis</w:t>
            </w:r>
          </w:p>
        </w:tc>
      </w:tr>
      <w:tr>
        <w:tc>
          <w:tcPr>
            <w:tcW w:type="dxa" w:w="24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Performance/analytics</w:t>
            </w:r>
          </w:p>
        </w:tc>
        <w:tc>
          <w:tcPr>
            <w:tcW w:type="dxa" w:w="24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Medição de desempenho, erros e utilização do produto</w:t>
            </w:r>
          </w:p>
        </w:tc>
        <w:tc>
          <w:tcPr>
            <w:tcW w:type="dxa" w:w="24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Depende da configuração e da tecnologia utilizada</w:t>
            </w:r>
          </w:p>
        </w:tc>
        <w:tc>
          <w:tcPr>
            <w:tcW w:type="dxa" w:w="24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Vercel Analytics/Speed Insights, quando habilitados</w:t>
            </w:r>
          </w:p>
        </w:tc>
      </w:tr>
      <w:tr>
        <w:tc>
          <w:tcPr>
            <w:tcW w:type="dxa" w:w="24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Funcionalidade</w:t>
            </w:r>
          </w:p>
        </w:tc>
        <w:tc>
          <w:tcPr>
            <w:tcW w:type="dxa" w:w="24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Guardar preferências que melhoram a experiência sem serem indispensáveis</w:t>
            </w:r>
          </w:p>
        </w:tc>
        <w:tc>
          <w:tcPr>
            <w:tcW w:type="dxa" w:w="24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Depende</w:t>
            </w:r>
          </w:p>
        </w:tc>
        <w:tc>
          <w:tcPr>
            <w:tcW w:type="dxa" w:w="24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Preferências de interface</w:t>
            </w:r>
          </w:p>
        </w:tc>
      </w:tr>
      <w:tr>
        <w:tc>
          <w:tcPr>
            <w:tcW w:type="dxa" w:w="24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Publicidade/marketing</w:t>
            </w:r>
          </w:p>
        </w:tc>
        <w:tc>
          <w:tcPr>
            <w:tcW w:type="dxa" w:w="24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Não utilizada como parte do núcleo clínico do Serviço</w:t>
            </w:r>
          </w:p>
        </w:tc>
        <w:tc>
          <w:tcPr>
            <w:tcW w:type="dxa" w:w="24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24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Qualquer tecnologia futura somente mediante avaliação jurídica e técnica específica</w:t>
            </w:r>
          </w:p>
        </w:tc>
      </w:tr>
    </w:tbl>
    <w:p>
      <w:pPr>
        <w:pStyle w:val="Heading1"/>
      </w:pPr>
      <w:r>
        <w:t>3. Cookies essenciais</w:t>
      </w:r>
    </w:p>
    <w:p>
      <w:r>
        <w:t>Cookies necessários à autenticação e sessão poderão ser utilizados sem possibilidade de desativação dentro do Serviço quando forem indispensáveis ao funcionamento e à segurança. Desativá-los no navegador pode impedir o login ou provocar perda de funcionalidades.</w:t>
      </w:r>
    </w:p>
    <w:p>
      <w:pPr>
        <w:pStyle w:val="Heading1"/>
      </w:pPr>
      <w:r>
        <w:t>4. Analytics e performance</w:t>
      </w:r>
    </w:p>
    <w:p>
      <w:r>
        <w:t>Quando analytics/performance estiver habilitado, serão coletados apenas os dados necessários à finalidade declarada e de acordo com a configuração efetivamente instalada. O sclinic não utilizará dados de prontuário ou conteúdo clínico para analytics de produto.</w:t>
      </w:r>
    </w:p>
    <w:p>
      <w:pPr>
        <w:pStyle w:val="Heading1"/>
      </w:pPr>
      <w:r>
        <w:t>5. Gestão pelo usuário</w:t>
      </w:r>
    </w:p>
    <w:p>
      <w:r>
        <w:t>O navegador permite bloquear ou apagar cookies. Em tecnologias não essenciais, o usuário poderá utilizar mecanismos de gerenciamento disponibilizados pelo próprio site quando aplicáveis. O bloqueio de cookies essenciais pode afetar o funcionamento do Serviço.</w:t>
      </w:r>
    </w:p>
    <w:p>
      <w:pPr>
        <w:pStyle w:val="Heading1"/>
      </w:pPr>
      <w:r>
        <w:t>6. Terceiros</w:t>
      </w:r>
    </w:p>
    <w:p>
      <w:r>
        <w:t>Serviços de terceiros podem empregar identificadores técnicos próprios. O sclinic deve manter um inventário interno dos fornecedores e respectivas finalidades, retenção, localização e base legal. A relação deve ser mantida sincronizada com a Política de Privacidade e com o DPA, quando aplicável.</w:t>
      </w:r>
    </w:p>
    <w:p>
      <w:pPr>
        <w:pStyle w:val="Heading1"/>
      </w:pPr>
      <w:r>
        <w:t>7. Atualizações</w:t>
      </w:r>
    </w:p>
    <w:p>
      <w:r>
        <w:t>Esta Política poderá ser atualizada quando forem adicionadas ou removidas tecnologias, fornecedores ou finalidades relevantes.</w:t>
      </w:r>
    </w:p>
    <w:p>
      <w:pPr>
        <w:pStyle w:val="Heading1"/>
      </w:pPr>
      <w:r>
        <w:t>Referências normativas principais</w:t>
      </w:r>
    </w:p>
    <w:p>
      <w:pPr>
        <w:pStyle w:val="ListBullet"/>
      </w:pPr>
      <w:r>
        <w:t>Lei nº 13.709/2018 (LGPD), especialmente arts. 5º, 6º, 7º, 11, 18, 33 a 36, 41, 46 a 49.</w:t>
      </w:r>
    </w:p>
    <w:p>
      <w:pPr>
        <w:pStyle w:val="ListBullet"/>
      </w:pPr>
      <w:r>
        <w:t>Resolução CD/ANPD nº 18/2024 — Regulamento sobre a atuação do encarregado pelo tratamento de dados pessoais.</w:t>
      </w:r>
    </w:p>
    <w:p>
      <w:pPr>
        <w:pStyle w:val="ListBullet"/>
      </w:pPr>
      <w:r>
        <w:t>Resolução CD/ANPD nº 15/2024 — Regulamento de Comunicação de Incidente de Segurança.</w:t>
      </w:r>
    </w:p>
    <w:p>
      <w:pPr>
        <w:pStyle w:val="ListBullet"/>
      </w:pPr>
      <w:r>
        <w:t>Resolução CD/ANPD nº 19/2024 — Regulamento de Transferência Internacional de Dados e cláusulas-padrão contratuais.</w:t>
      </w:r>
    </w:p>
    <w:p>
      <w:pPr>
        <w:pStyle w:val="ListBullet"/>
      </w:pPr>
      <w:r>
        <w:t>Resolução CD/ANPD nº 2/2022, com alterações posteriores — agentes de tratamento de pequeno porte, quando aplicável.</w:t>
      </w:r>
    </w:p>
    <w:p>
      <w:pPr>
        <w:pStyle w:val="ListBullet"/>
      </w:pPr>
      <w:r>
        <w:t>Guia Orientativo da ANPD sobre Cookies e Proteção de Dados Pessoais, quando aplicável à operação.</w:t>
      </w:r>
    </w:p>
    <w:sectPr>
      <w:headerReference w:type="default" r:id="rId9"/>
      <w:footerReference w:type="default" r:id="rId10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sclinic • versão 1.0 •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SCLINIC | DOCUMENTO JURÍDICO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