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42"/>
        </w:rPr>
        <w:t>DPA — ACORDO DE TRATAMENTO DE DADOS</w:t>
      </w:r>
    </w:p>
    <w:p>
      <w:pPr>
        <w:jc w:val="center"/>
      </w:pPr>
      <w:r>
        <w:rPr>
          <w:i/>
          <w:sz w:val="21"/>
        </w:rPr>
        <w:t>sclinic — controlador e operador</w:t>
      </w:r>
    </w:p>
    <w:p>
      <w:pPr>
        <w:jc w:val="center"/>
      </w:pPr>
      <w:r>
        <w:rPr>
          <w:sz w:val="18"/>
        </w:rPr>
        <w:t>Última atualização: [DD/MM/AAAA]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  <w:shd w:fill="EEF4FF"/>
          </w:tcPr>
          <w:p>
            <w:pPr>
              <w:pStyle w:val="Small"/>
            </w:pPr>
            <w:r>
              <w:t>Este documento deve ser assinado/aceito pela clínica controladora. Não utilizar como substituto da definição efetiva de responsabilidades, instruções e medidas técnicas da operação concreta.</w:t>
            </w:r>
          </w:p>
        </w:tc>
      </w:tr>
    </w:tbl>
    <w:p>
      <w:pPr>
        <w:spacing w:after="0"/>
      </w:pPr>
    </w:p>
    <w:p>
      <w:pPr>
        <w:pStyle w:val="Heading1"/>
      </w:pPr>
      <w:r>
        <w:t>1. Partes e escopo</w:t>
      </w:r>
    </w:p>
    <w:p>
      <w:r>
        <w:t>De um lado, a clínica/profissional CONTRATANTE, na qualidade de Controladora; de outro, a Prestadora sclinic, na qualidade de Operadora para os dados tratados em nome da Controladora. Este DPA integra o Contrato SaaS.</w:t>
      </w:r>
    </w:p>
    <w:p>
      <w:pPr>
        <w:pStyle w:val="Heading1"/>
      </w:pPr>
      <w:r>
        <w:t>2. Objeto e duração</w:t>
      </w:r>
    </w:p>
    <w:p>
      <w:r>
        <w:t>A Operadora tratará dados pessoais pelo período necessário à prestação do Serviço e aos procedimentos de saída, retenção e exclusão previstos no contrato, instruções da Controladora e legislação aplicável.</w:t>
      </w:r>
    </w:p>
    <w:p>
      <w:pPr>
        <w:pStyle w:val="Heading1"/>
      </w:pPr>
      <w:r>
        <w:t>3. Dados e titulares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49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Exemplos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Titulares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Pacientes, profissionais, colaboradores, representantes e demais pessoas cujos dados sejam inseridos pela Controladora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Dados comuns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Identificação, contato, endereço, documentos, agenda e dados administrativos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Dados sensíveis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Informações relacionadas à saúde e outros dados sensíveis efetivamente inseridos pela Controladora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Dados técnicos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Logs e metadados necessários à segurança e operação</w:t>
            </w:r>
          </w:p>
        </w:tc>
      </w:tr>
    </w:tbl>
    <w:p>
      <w:pPr>
        <w:pStyle w:val="Heading1"/>
      </w:pPr>
      <w:r>
        <w:t>4. Instruções e finalidade</w:t>
      </w:r>
    </w:p>
    <w:p>
      <w:r>
        <w:t>A Operadora tratará os dados somente para fornecer, manter, proteger e aprimorar tecnicamente o Serviço conforme as instruções documentadas da Controladora. Não utilizará dados clínicos para publicidade, comercialização de bases ou treinamento de modelos de IA por conta própria.</w:t>
      </w:r>
    </w:p>
    <w:p>
      <w:pPr>
        <w:pStyle w:val="Heading1"/>
      </w:pPr>
      <w:r>
        <w:t>5. Responsabilidades da Controladora</w:t>
      </w:r>
    </w:p>
    <w:p>
      <w:pPr>
        <w:pStyle w:val="ListBullet"/>
      </w:pPr>
      <w:r>
        <w:t>Determinar finalidades e hipóteses legais do tratamento.</w:t>
      </w:r>
    </w:p>
    <w:p>
      <w:pPr>
        <w:pStyle w:val="ListBullet"/>
      </w:pPr>
      <w:r>
        <w:t>Garantir que a coleta e o uso dos dados sejam lícitos e transparentes.</w:t>
      </w:r>
    </w:p>
    <w:p>
      <w:pPr>
        <w:pStyle w:val="ListBullet"/>
      </w:pPr>
      <w:r>
        <w:t>Fornecer avisos e atender solicitações dos titulares.</w:t>
      </w:r>
    </w:p>
    <w:p>
      <w:pPr>
        <w:pStyle w:val="ListBullet"/>
      </w:pPr>
      <w:r>
        <w:t>Definir e revisar acessos de seus usuários.</w:t>
      </w:r>
    </w:p>
    <w:p>
      <w:pPr>
        <w:pStyle w:val="ListBullet"/>
      </w:pPr>
      <w:r>
        <w:t>Fornecer instruções lícitas e suficientes à Operadora.</w:t>
      </w:r>
    </w:p>
    <w:p>
      <w:pPr>
        <w:pStyle w:val="ListBullet"/>
      </w:pPr>
      <w:r>
        <w:t>Avaliar riscos próprios do tratamento clínico e cumprir obrigações regulatórias da atividade de saúde.</w:t>
      </w:r>
    </w:p>
    <w:p>
      <w:pPr>
        <w:pStyle w:val="Heading1"/>
      </w:pPr>
      <w:r>
        <w:t>6. Responsabilidades da Operadora</w:t>
      </w:r>
    </w:p>
    <w:p>
      <w:pPr>
        <w:pStyle w:val="ListBullet"/>
      </w:pPr>
      <w:r>
        <w:t>Tratar os dados conforme instruções documentadas.</w:t>
      </w:r>
    </w:p>
    <w:p>
      <w:pPr>
        <w:pStyle w:val="ListBullet"/>
      </w:pPr>
      <w:r>
        <w:t>Garantir confidencialidade das pessoas autorizadas.</w:t>
      </w:r>
    </w:p>
    <w:p>
      <w:pPr>
        <w:pStyle w:val="ListBullet"/>
      </w:pPr>
      <w:r>
        <w:t>Aplicar medidas técnicas e administrativas compatíveis com o risco.</w:t>
      </w:r>
    </w:p>
    <w:p>
      <w:pPr>
        <w:pStyle w:val="ListBullet"/>
      </w:pPr>
      <w:r>
        <w:t>Apoiar a Controladora em direitos, segurança e incidentes.</w:t>
      </w:r>
    </w:p>
    <w:p>
      <w:pPr>
        <w:pStyle w:val="ListBullet"/>
      </w:pPr>
      <w:r>
        <w:t>Manter registros e evidências de conformidade proporcional ao tratamento.</w:t>
      </w:r>
    </w:p>
    <w:p>
      <w:pPr>
        <w:pStyle w:val="ListBullet"/>
      </w:pPr>
      <w:r>
        <w:t>Informar a Controladora sobre instruções que, em seu entendimento, contrariem a legislação aplicável, sem prejuízo das medidas necessárias em caso de risco imediato.</w:t>
      </w:r>
    </w:p>
    <w:p>
      <w:pPr>
        <w:pStyle w:val="Heading1"/>
      </w:pPr>
      <w:r>
        <w:t>7. Segurança</w:t>
      </w:r>
    </w:p>
    <w:p>
      <w:pPr>
        <w:pStyle w:val="ListBullet"/>
      </w:pPr>
      <w:r>
        <w:t>Isolamento lógico entre tenants.</w:t>
      </w:r>
    </w:p>
    <w:p>
      <w:pPr>
        <w:pStyle w:val="ListBullet"/>
      </w:pPr>
      <w:r>
        <w:t>Controle de acesso baseado em papéis e privilégio mínimo.</w:t>
      </w:r>
    </w:p>
    <w:p>
      <w:pPr>
        <w:pStyle w:val="ListBullet"/>
      </w:pPr>
      <w:r>
        <w:t>Autenticação e gestão de sessão.</w:t>
      </w:r>
    </w:p>
    <w:p>
      <w:pPr>
        <w:pStyle w:val="ListBullet"/>
      </w:pPr>
      <w:r>
        <w:t>Proteção de credenciais e segredos.</w:t>
      </w:r>
    </w:p>
    <w:p>
      <w:pPr>
        <w:pStyle w:val="ListBullet"/>
      </w:pPr>
      <w:r>
        <w:t>Criptografia em trânsito e medidas de proteção em repouso conforme arquitetura adotada.</w:t>
      </w:r>
    </w:p>
    <w:p>
      <w:pPr>
        <w:pStyle w:val="ListBullet"/>
      </w:pPr>
      <w:r>
        <w:t>Logs e rastreabilidade de ações relevantes.</w:t>
      </w:r>
    </w:p>
    <w:p>
      <w:pPr>
        <w:pStyle w:val="ListBullet"/>
      </w:pPr>
      <w:r>
        <w:t>Backups e capacidade de recuperação.</w:t>
      </w:r>
    </w:p>
    <w:p>
      <w:pPr>
        <w:pStyle w:val="ListBullet"/>
      </w:pPr>
      <w:r>
        <w:t>Gestão de vulnerabilidades e atualizações de segurança.</w:t>
      </w:r>
    </w:p>
    <w:p>
      <w:pPr>
        <w:pStyle w:val="Heading1"/>
      </w:pPr>
      <w:r>
        <w:t>8. Suboperadores</w:t>
      </w:r>
    </w:p>
    <w:p>
      <w:r>
        <w:t>A Controladora autoriza o uso de suboperadores necessários à operação do Serviço, desde que submetidos a obrigações de proteção de dados e segurança compatíveis. A Operadora manterá lista atualizada dos suboperadores relevantes e comunicará alterações materiais conforme procedimento contratual.</w:t>
      </w:r>
    </w:p>
    <w:p>
      <w:pPr>
        <w:pStyle w:val="Heading1"/>
      </w:pPr>
      <w:r>
        <w:t>9. Direitos dos titulares</w:t>
      </w:r>
    </w:p>
    <w:p>
      <w:r>
        <w:t>A Controladora é responsável pelo atendimento dos titulares. Quando depender de dados ou funcionalidades sob controle da Operadora, esta prestará assistência razoável, considerando o prazo legal e a natureza da solicitação.</w:t>
      </w:r>
    </w:p>
    <w:p>
      <w:pPr>
        <w:pStyle w:val="Heading1"/>
      </w:pPr>
      <w:r>
        <w:t>10. Incidentes de segurança</w:t>
      </w:r>
    </w:p>
    <w:p>
      <w:r>
        <w:t>A Operadora comunicará a Controladora sem demora indevida após tomar conhecimento de incidente que envolva dados tratados em seu nome e fornecerá, na medida disponível, informações sobre natureza, categorias afetadas, medidas adotadas e recomendações. A Controladora decidirá sobre comunicações a titulares e ANPD, salvo obrigação legal direta da Operadora.</w:t>
      </w:r>
    </w:p>
    <w:p>
      <w:pPr>
        <w:pStyle w:val="Heading1"/>
      </w:pPr>
      <w:r>
        <w:t>11. Transferência internacional</w:t>
      </w:r>
    </w:p>
    <w:p>
      <w:r>
        <w:t>Quando houver transferência internacional, as partes adotarão mecanismo válido nos termos da LGPD e da Resolução CD/ANPD nº 19/2024. A Operadora fornecerá à Controladora informações razoavelmente disponíveis sobre localização, destinatários e salvaguardas contratuais relevantes.</w:t>
      </w:r>
    </w:p>
    <w:p>
      <w:pPr>
        <w:pStyle w:val="Heading1"/>
      </w:pPr>
      <w:r>
        <w:t>12. Auditoria e comprovação</w:t>
      </w:r>
    </w:p>
    <w:p>
      <w:r>
        <w:t>A Controladora poderá solicitar informações razoáveis para verificar cumprimento deste DPA. Auditorias presenciais ou técnicas deverão preservar segurança, confidencialidade e segredos comerciais e seguir procedimento previamente acordado, salvo exigência legal ou incidente relevante.</w:t>
      </w:r>
    </w:p>
    <w:p>
      <w:pPr>
        <w:pStyle w:val="Heading1"/>
      </w:pPr>
      <w:r>
        <w:t>13. Devolução e exclusão</w:t>
      </w:r>
    </w:p>
    <w:p>
      <w:r>
        <w:t>Ao término do Serviço, a Controladora poderá solicitar exportação dos dados em formato disponibilizado. Após o período de saída, a Operadora excluirá ou tornará inacessíveis os dados sob sua responsabilidade, ressalvados backups em ciclo de retenção, obrigações legais e registros necessários à defesa de direitos.</w:t>
      </w:r>
    </w:p>
    <w:p>
      <w:pPr>
        <w:pStyle w:val="Heading1"/>
      </w:pPr>
      <w:r>
        <w:t>14. Confidencialidade</w:t>
      </w:r>
    </w:p>
    <w:p>
      <w:r>
        <w:t>Dados tratados em nome da Controladora serão considerados confidenciais. Pessoas com acesso deverão estar vinculadas a dever de confidencialidade.</w:t>
      </w:r>
    </w:p>
    <w:p>
      <w:pPr>
        <w:pStyle w:val="Heading1"/>
      </w:pPr>
      <w:r>
        <w:t>15. Prevalência</w:t>
      </w:r>
    </w:p>
    <w:p>
      <w:r>
        <w:t>Para matérias específicas de proteção de dados tratadas neste DPA, este instrumento prevalecerá sobre disposições genéricas do Contrato SaaS na medida de eventual conflito, sem alterar condições comerciais.</w:t>
      </w:r>
    </w:p>
    <w:p>
      <w:pPr>
        <w:pStyle w:val="Heading1"/>
      </w:pPr>
      <w:r>
        <w:t>16. Anexo operacional mínimo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9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sz w:val="18"/>
              </w:rPr>
              <w:t>Preenchimento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Controladora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Nome, CNPJ/CPF e contato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Operadora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[RAZÃO SOCIAL]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Finalidades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Gestão clínica, agenda, prontuário e administração, conforme contratação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Categorias de dados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Conforme seção 3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Suboperadores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Conforme lista vigente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Transferência internacional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Conforme inventário e mecanismo aplicável</w:t>
            </w:r>
          </w:p>
        </w:tc>
      </w:tr>
      <w:tr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Prazo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r>
              <w:rPr>
                <w:sz w:val="17"/>
              </w:rPr>
              <w:t>Vigência + período de saída + retenções legais/técnicas</w:t>
            </w:r>
          </w:p>
        </w:tc>
      </w:tr>
    </w:tbl>
    <w:p>
      <w:pPr>
        <w:pStyle w:val="Heading1"/>
      </w:pPr>
      <w:r>
        <w:t>17. Assinatura/aceite</w:t>
      </w:r>
    </w:p>
    <w:p>
      <w:r>
        <w:t>O aceite eletrônico do Contrato SaaS ou a assinatura deste DPA produz efeitos entre as partes a partir da data de contratação, sem prejuízo da documentação complementar exigida.</w:t>
      </w:r>
    </w:p>
    <w:sectPr>
      <w:headerReference w:type="default" r:id="rId9"/>
      <w:footerReference w:type="default" r:id="rId10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sclinic • versão 1.0 •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SCLINIC |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