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rPr>
          <w:rFonts w:ascii="Calibri" w:cs="Calibri" w:eastAsia="Calibri" w:hAnsi="Calibri"/>
        </w:rPr>
        <w:t xml:space="preserve"/>
      </w:r>
    </w:p>
    <w:p>
      <w:pPr>
        <w:jc w:val="center"/>
      </w:pPr>
      <w:r>
        <w:rPr>
          <w:rFonts w:ascii="Calibri" w:cs="Calibri" w:eastAsia="Calibri" w:hAnsi="Calibri"/>
          <w:b/>
          <w:bCs/>
          <w:color w:val="1B2A4A"/>
          <w:sz w:val="52"/>
          <w:szCs w:val="52"/>
        </w:rPr>
        <w:t xml:space="preserve">JIGANTO</w:t>
      </w:r>
    </w:p>
    <w:p>
      <w:pPr>
        <w:spacing w:after="80"/>
        <w:jc w:val="center"/>
      </w:pPr>
      <w:r>
        <w:rPr>
          <w:rFonts w:ascii="Calibri" w:cs="Calibri" w:eastAsia="Calibri" w:hAnsi="Calibri"/>
          <w:b/>
          <w:bCs/>
          <w:color w:val="2E5FA3"/>
          <w:sz w:val="36"/>
          <w:szCs w:val="36"/>
        </w:rPr>
        <w:t xml:space="preserve">Test Management Module</w:t>
      </w:r>
    </w:p>
    <w:p>
      <w:pPr>
        <w:jc w:val="center"/>
      </w:pPr>
      <w:r>
        <w:rPr>
          <w:rFonts w:ascii="Calibri" w:cs="Calibri" w:eastAsia="Calibri" w:hAnsi="Calibri"/>
          <w:color w:val="8A94B0"/>
          <w:sz w:val="24"/>
          <w:szCs w:val="24"/>
        </w:rPr>
        <w:t xml:space="preserve">Cross-Organisation Access Rules, User Types &amp; Sharing Scenarios</w:t>
      </w:r>
    </w:p>
    <w:p>
      <w:pPr>
        <w:spacing w:before="40" w:after="40"/>
      </w:pPr>
      <w:r>
        <w:rPr>
          <w:rFonts w:ascii="Calibri" w:cs="Calibri" w:eastAsia="Calibri" w:hAnsi="Calibri"/>
        </w:rPr>
        <w:t xml:space="preserve"/>
      </w:r>
    </w:p>
    <w:p>
      <w:pPr>
        <w:jc w:val="center"/>
      </w:pPr>
      <w:r>
        <w:rPr>
          <w:rFonts w:ascii="Calibri" w:cs="Calibri" w:eastAsia="Calibri" w:hAnsi="Calibri"/>
          <w:color w:val="8A94B0"/>
          <w:sz w:val="20"/>
          <w:szCs w:val="20"/>
        </w:rPr>
        <w:t xml:space="preserve">Specification for Replit Build Phase</w:t>
      </w:r>
    </w:p>
    <w:p>
      <w:pPr>
        <w:spacing w:before="40" w:after="40"/>
      </w:pPr>
      <w:r>
        <w:rPr>
          <w:rFonts w:ascii="Calibri" w:cs="Calibri" w:eastAsia="Calibri" w:hAnsi="Calibri"/>
        </w:rPr>
        <w:t xml:space="preserve"/>
      </w:r>
    </w:p>
    <w:p>
      <w:pPr>
        <w:jc w:val="center"/>
      </w:pPr>
      <w:r>
        <w:rPr>
          <w:rFonts w:ascii="Calibri" w:cs="Calibri" w:eastAsia="Calibri" w:hAnsi="Calibri"/>
          <w:color w:val="8A94B0"/>
          <w:sz w:val="18"/>
          <w:szCs w:val="18"/>
        </w:rPr>
        <w:t xml:space="preserve">Version 1.0  ·  March 2026  ·  Confidential</w:t>
      </w:r>
    </w:p>
    <w:p>
      <w:pPr>
        <w:spacing w:before="240" w:after="240"/>
      </w:pPr>
      <w:r>
        <w:rPr>
          <w:rFonts w:ascii="Calibri" w:cs="Calibri" w:eastAsia="Calibri" w:hAnsi="Calibri"/>
        </w:rPr>
        <w:t xml:space="preserve"/>
      </w:r>
    </w:p>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1. Purpose and Scope</w:t>
      </w:r>
    </w:p>
    <w:p>
      <w:r>
        <w:rPr>
          <w:rFonts w:ascii="Calibri" w:cs="Calibri" w:eastAsia="Calibri" w:hAnsi="Calibri"/>
          <w:color w:val="555555"/>
          <w:sz w:val="18"/>
          <w:szCs w:val="18"/>
        </w:rPr>
        <w:t xml:space="preserve">This document defines the cross-organisation sharing rules, user role taxonomy, and access control scenarios for the Jiganto Test Management module. It is intended as a direct specification input to the Replit build phase and covers all four commercial use cases identified during design review.</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3" w:sz="4"/>
              <w:left w:val="single" w:color="2E5FA3" w:sz="12"/>
              <w:bottom w:val="single" w:color="2E5FA3" w:sz="1"/>
              <w:right w:val="single" w:color="2E5FA3" w:sz="1"/>
            </w:tcBorders>
            <w:shd w:fill="D6E4F7" w:val="clear"/>
            <w:tcMar>
              <w:top w:type="dxa" w:w="100"/>
              <w:left w:type="dxa" w:w="160"/>
              <w:bottom w:type="dxa" w:w="100"/>
              <w:right w:type="dxa" w:w="100"/>
            </w:tcMar>
          </w:tcPr>
          <w:p>
            <w:r>
              <w:rPr>
                <w:rFonts w:ascii="Calibri" w:cs="Calibri" w:eastAsia="Calibri" w:hAnsi="Calibri"/>
                <w:color w:val="2C2C2C"/>
                <w:sz w:val="17"/>
                <w:szCs w:val="17"/>
              </w:rPr>
              <w:t xml:space="preserve">DESIGN PRINCIPLE: All access in Jiganto is governed by three combined factors — Organisation membership, Project membership, and Role within that project. A user's permissions are always the intersection of these three, never broader. This must be enforced at the API layer, not just the UI.</w:t>
            </w:r>
          </w:p>
        </w:tc>
      </w:tr>
    </w:tbl>
    <w:p>
      <w:pPr>
        <w:pStyle w:val="Heading2"/>
        <w:spacing w:before="240" w:after="120"/>
      </w:pPr>
      <w:r>
        <w:rPr>
          <w:rFonts w:ascii="Calibri" w:cs="Calibri" w:eastAsia="Calibri" w:hAnsi="Calibri"/>
          <w:b/>
          <w:bCs/>
          <w:color w:val="2E5FA3"/>
          <w:sz w:val="22"/>
          <w:szCs w:val="22"/>
        </w:rPr>
        <w:t xml:space="preserve">2. The Four Commercial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200"/>
        <w:gridCol w:w="2360"/>
      </w:tblGrid>
      <w:tr>
        <w:tc>
          <w:tcPr>
            <w:tcW w:type="dxa" w:w="4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w:t>
            </w:r>
          </w:p>
        </w:tc>
        <w:tc>
          <w:tcPr>
            <w:tcW w:type="dxa" w:w="22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Use Case</w:t>
            </w:r>
          </w:p>
        </w:tc>
        <w:tc>
          <w:tcPr>
            <w:tcW w:type="dxa" w:w="22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Organisation Type</w:t>
            </w:r>
          </w:p>
        </w:tc>
        <w:tc>
          <w:tcPr>
            <w:tcW w:type="dxa" w:w="22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Key Characteristic</w:t>
            </w:r>
          </w:p>
        </w:tc>
        <w:tc>
          <w:tcPr>
            <w:tcW w:type="dxa" w:w="236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Multi-Org Sharing Needed?</w:t>
            </w:r>
          </w:p>
        </w:tc>
      </w:tr>
      <w:tr>
        <w:tc>
          <w:tcPr>
            <w:tcW w:type="dxa" w:w="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1</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Professional Services / PMO</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Consulting or PS firm delivering projects to multiple clients</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Manages multiple client projects simultaneously; each client is isolated</w:t>
            </w:r>
          </w:p>
        </w:tc>
        <w:tc>
          <w:tcPr>
            <w:tcW w:type="dxa" w:w="23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Yes — client may have read-only access to their project data</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Software Product Company</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ISV building and selling its own software</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Tracks releases, versions, regression cycles; customer feedback → defects</w:t>
            </w:r>
          </w:p>
        </w:tc>
        <w:tc>
          <w:tcPr>
            <w:tcW w:type="dxa" w:w="2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Yes — customer/partner may log defects or UAT results into the product project</w:t>
            </w:r>
          </w:p>
        </w:tc>
      </w:tr>
      <w:tr>
        <w:tc>
          <w:tcPr>
            <w:tcW w:type="dxa" w:w="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3</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System Integrator (SI)</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Specialist SI implementing CRM/ERP/SaaS for clients</w:t>
            </w:r>
          </w:p>
        </w:tc>
        <w:tc>
          <w:tcPr>
            <w:tcW w:type="dxa" w:w="22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One SI, many client projects; consultants shared across projects</w:t>
            </w:r>
          </w:p>
        </w:tc>
        <w:tc>
          <w:tcPr>
            <w:tcW w:type="dxa" w:w="23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Yes — customer UAT team works alongside SI testers on the same project</w:t>
            </w:r>
          </w:p>
        </w:tc>
      </w:tr>
      <w:tr>
        <w:tc>
          <w:tcPr>
            <w:tcW w:type="dxa" w:w="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4</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Customer + Implementation Partner</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End customer mandating Jiganto as delivery tool</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Customer owns the project; SI/partner is a contributor; governance sits with customer</w:t>
            </w:r>
          </w:p>
        </w:tc>
        <w:tc>
          <w:tcPr>
            <w:tcW w:type="dxa" w:w="23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Yes — most complex model; both orgs have elevated roles</w:t>
            </w:r>
          </w:p>
        </w:tc>
      </w:tr>
    </w:tbl>
    <w:p>
      <w:pPr>
        <w:spacing w:before="40" w:after="40"/>
      </w:pPr>
      <w:r>
        <w:rPr>
          <w:rFonts w:ascii="Calibri" w:cs="Calibri" w:eastAsia="Calibri" w:hAnsi="Calibri"/>
        </w:rPr>
        <w:t xml:space="preserve"/>
      </w:r>
    </w:p>
    <w:p>
      <w:pPr>
        <w:pStyle w:val="Heading1"/>
        <w:pBdr>
          <w:bottom w:val="single" w:color="2E5FA3" w:sz="6" w:space="4"/>
        </w:pBdr>
        <w:spacing w:before="320" w:after="160"/>
      </w:pPr>
      <w:r>
        <w:rPr>
          <w:rFonts w:ascii="Calibri" w:cs="Calibri" w:eastAsia="Calibri" w:hAnsi="Calibri"/>
          <w:b/>
          <w:bCs/>
          <w:color w:val="1B2A4A"/>
          <w:sz w:val="28"/>
          <w:szCs w:val="28"/>
        </w:rPr>
        <w:t xml:space="preserve">3. Organisation &amp; Tenancy Model</w:t>
      </w:r>
    </w:p>
    <w:p>
      <w:r>
        <w:rPr>
          <w:rFonts w:ascii="Calibri" w:cs="Calibri" w:eastAsia="Calibri" w:hAnsi="Calibri"/>
          <w:color w:val="555555"/>
          <w:sz w:val="18"/>
          <w:szCs w:val="18"/>
        </w:rPr>
        <w:t xml:space="preserve">Jiganto operates as a multi-tenant SaaS platform. Each company is an Organisation (tenant). Data is fully partitioned by organisation at the database level. Cross-organisation collaboration is enabled through explicit Project Invitations, which grant defined roles to external users on a specific project only.</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Layer</w:t>
            </w:r>
          </w:p>
        </w:tc>
        <w:tc>
          <w:tcPr>
            <w:tcW w:type="dxa" w:w="34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Definition</w:t>
            </w:r>
          </w:p>
        </w:tc>
        <w:tc>
          <w:tcPr>
            <w:tcW w:type="dxa" w:w="34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Data Scope</w:t>
            </w:r>
          </w:p>
        </w:tc>
      </w:tr>
      <w:tr>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Organisation (Tenant)</w:t>
            </w:r>
          </w:p>
        </w:tc>
        <w:tc>
          <w:tcPr>
            <w:tcW w:type="dxa" w:w="34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Top-level entity. Represents a company. Has its own users, projects, templates, and billing.</w:t>
            </w:r>
          </w:p>
        </w:tc>
        <w:tc>
          <w:tcPr>
            <w:tcW w:type="dxa" w:w="34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Fully isolated. No data crosses tenant boundaries except via explicit project invitation.</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Project / Programme</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Container for all test activity. Has a Type (Programme, Project, POC, etc.), owner organisation, and member list.</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Scoped to organisation by default. Can be shared with external orgs via invitation.</w:t>
            </w:r>
          </w:p>
        </w:tc>
      </w:tr>
      <w:tr>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Project Membership</w:t>
            </w:r>
          </w:p>
        </w:tc>
        <w:tc>
          <w:tcPr>
            <w:tcW w:type="dxa" w:w="34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 record linking a user from any organisation to a project with a defined role.</w:t>
            </w:r>
          </w:p>
        </w:tc>
        <w:tc>
          <w:tcPr>
            <w:tcW w:type="dxa" w:w="34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Users only see data in projects they are members of.</w:t>
            </w:r>
          </w:p>
        </w:tc>
      </w:tr>
      <w:tr>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Global Templates</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Organisation-level test case templates, scenario templates, defect categories. Not project-specific.</w:t>
            </w:r>
          </w:p>
        </w:tc>
        <w:tc>
          <w:tcPr>
            <w:tcW w:type="dxa" w:w="3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Visible to all users within the owning organisation. Never visible to external/invited users.</w:t>
            </w:r>
          </w:p>
        </w:tc>
      </w:tr>
    </w:tbl>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1"/>
              <w:right w:val="single" w:color="F59E0B" w:sz="1"/>
            </w:tcBorders>
            <w:shd w:fill="FEF3C7" w:val="clear"/>
            <w:tcMar>
              <w:top w:type="dxa" w:w="100"/>
              <w:left w:type="dxa" w:w="160"/>
              <w:bottom w:type="dxa" w:w="100"/>
              <w:right w:type="dxa" w:w="100"/>
            </w:tcMar>
          </w:tcPr>
          <w:p>
            <w:r>
              <w:rPr>
                <w:rFonts w:ascii="Calibri" w:cs="Calibri" w:eastAsia="Calibri" w:hAnsi="Calibri"/>
                <w:color w:val="2C2C2C"/>
                <w:sz w:val="17"/>
                <w:szCs w:val="17"/>
              </w:rPr>
              <w:t xml:space="preserve">REPLIT BUILD NOTE: The database must enforce org isolation via Row-Level Security (RLS) policies on every table. project_id and org_id must be indexed columns on all major tables. The API must validate org membership on every request — never trust client-supplied org_id.</w:t>
            </w:r>
          </w:p>
        </w:tc>
      </w:tr>
    </w:tbl>
    <w:p>
      <w:pPr>
        <w:pStyle w:val="Heading1"/>
        <w:pBdr>
          <w:bottom w:val="single" w:color="2E5FA3" w:sz="6" w:space="4"/>
        </w:pBdr>
        <w:spacing w:before="320" w:after="160"/>
      </w:pPr>
      <w:r>
        <w:rPr>
          <w:rFonts w:ascii="Calibri" w:cs="Calibri" w:eastAsia="Calibri" w:hAnsi="Calibri"/>
          <w:b/>
          <w:bCs/>
          <w:color w:val="1B2A4A"/>
          <w:sz w:val="28"/>
          <w:szCs w:val="28"/>
        </w:rPr>
        <w:t xml:space="preserve">4. Project / Event Type Taxonomy</w:t>
      </w:r>
    </w:p>
    <w:p>
      <w:r>
        <w:rPr>
          <w:rFonts w:ascii="Calibri" w:cs="Calibri" w:eastAsia="Calibri" w:hAnsi="Calibri"/>
          <w:color w:val="555555"/>
          <w:sz w:val="18"/>
          <w:szCs w:val="18"/>
        </w:rPr>
        <w:t xml:space="preserve">The following project types are supported. Each type inherits the same core testing workflow but may have different defaults for audit requirements, approval gates, and available modules.</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60"/>
        <w:gridCol w:w="2000"/>
        <w:gridCol w:w="2400"/>
      </w:tblGrid>
      <w:tr>
        <w:tc>
          <w:tcPr>
            <w:tcW w:type="dxa" w:w="17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Type</w:t>
            </w:r>
          </w:p>
        </w:tc>
        <w:tc>
          <w:tcPr>
            <w:tcW w:type="dxa" w:w="326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Description</w:t>
            </w:r>
          </w:p>
        </w:tc>
        <w:tc>
          <w:tcPr>
            <w:tcW w:type="dxa" w:w="20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Audit Requirement</w:t>
            </w:r>
          </w:p>
        </w:tc>
        <w:tc>
          <w:tcPr>
            <w:tcW w:type="dxa" w:w="24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Available Modules</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Programme</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Large multi-stream initiative spanning multiple projects. Often has a Programme Manager and steering committee.</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00796B"/>
                <w:sz w:val="16"/>
                <w:szCs w:val="16"/>
              </w:rPr>
              <w:t xml:space="preserve">Full audit trail required</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All modules</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Project</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Standard delivery project with defined start/end. Most common type.</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All modules</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POC / Pilot</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Proof of concept or pilot. Lightweight governance.</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F59E0B"/>
                <w:sz w:val="16"/>
                <w:szCs w:val="16"/>
              </w:rPr>
              <w:t xml:space="preserve">Audit optional</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Limited — no Compliance module</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Initiative</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Strategic business initiative. May span multiple delivery teams.</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All modules</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BAU Release</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Business-as-usual software release or patch cycle.</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Test + Defects only</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Regression Cycle</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Standalone regression test run, often post-release.</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Test + Defects only</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Audit / Compliance</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Formal compliance or regulatory audit requiring evidence capture.</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C0392B"/>
                <w:sz w:val="16"/>
                <w:szCs w:val="16"/>
              </w:rPr>
              <w:t xml:space="preserve">Full audit trail mandatory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All modules + Evidence lock</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Implementation</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ERP/CRM/SaaS system implementation. SI-led with customer UAT.</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Full audit trail required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All modules + Cross-org sharing</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Support / Hypercare</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Post go-live support period. Defect tracking focus.</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Defects + Evidence only</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Training</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Test environment used for training purposes only. No production impact.</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No audit required</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Limited — execution only</w:t>
            </w:r>
          </w:p>
        </w:tc>
      </w:tr>
      <w:tr>
        <w:tc>
          <w:tcPr>
            <w:tcW w:type="dxa" w:w="17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Data Migration</w:t>
            </w:r>
          </w:p>
        </w:tc>
        <w:tc>
          <w:tcPr>
            <w:tcW w:type="dxa" w:w="32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Data migration project with validation testing.</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00796B"/>
                <w:sz w:val="16"/>
                <w:szCs w:val="16"/>
              </w:rPr>
              <w:t xml:space="preserve">Full audit trail required</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Test + Evidence + RTM</w:t>
            </w:r>
          </w:p>
        </w:tc>
      </w:tr>
      <w:tr>
        <w:tc>
          <w:tcPr>
            <w:tcW w:type="dxa" w:w="17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Integration Testing</w:t>
            </w:r>
          </w:p>
        </w:tc>
        <w:tc>
          <w:tcPr>
            <w:tcW w:type="dxa" w:w="32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Standalone integration or API testing initiative.</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00796B"/>
                <w:sz w:val="16"/>
                <w:szCs w:val="16"/>
              </w:rPr>
              <w:t xml:space="preserve">Standard audit</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Test + Defects + RTM</w:t>
            </w:r>
          </w:p>
        </w:tc>
      </w:tr>
    </w:tbl>
    <w:p>
      <w:pPr>
        <w:spacing w:before="40" w:after="40"/>
      </w:pPr>
      <w:r>
        <w:rPr>
          <w:rFonts w:ascii="Calibri" w:cs="Calibri" w:eastAsia="Calibri" w:hAnsi="Calibri"/>
        </w:rPr>
        <w:t xml:space="preserve"/>
      </w:r>
    </w:p>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5. User Role Taxonomy</w:t>
      </w:r>
    </w:p>
    <w:p>
      <w:r>
        <w:rPr>
          <w:rFonts w:ascii="Calibri" w:cs="Calibri" w:eastAsia="Calibri" w:hAnsi="Calibri"/>
          <w:color w:val="555555"/>
          <w:sz w:val="18"/>
          <w:szCs w:val="18"/>
        </w:rPr>
        <w:t xml:space="preserve">Roles are assigned per project, not globally. A user may hold different roles on different projects. The following roles are defined across two categories: Internal Roles (within the owning organisation) and External / Partner Roles (invited from another organisation).</w:t>
      </w:r>
    </w:p>
    <w:p>
      <w:pPr>
        <w:spacing w:before="40" w:after="40"/>
      </w:pPr>
      <w:r>
        <w:rPr>
          <w:rFonts w:ascii="Calibri" w:cs="Calibri" w:eastAsia="Calibri" w:hAnsi="Calibri"/>
        </w:rPr>
        <w:t xml:space="preserve"/>
      </w:r>
    </w:p>
    <w:p>
      <w:pPr>
        <w:spacing w:before="180" w:after="80"/>
      </w:pPr>
      <w:r>
        <w:rPr>
          <w:rFonts w:ascii="Calibri" w:cs="Calibri" w:eastAsia="Calibri" w:hAnsi="Calibri"/>
          <w:b/>
          <w:bCs/>
          <w:color w:val="00796B"/>
          <w:sz w:val="19"/>
          <w:szCs w:val="19"/>
        </w:rPr>
        <w:t xml:space="preserve">5.1 Internal Roles (Owning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160"/>
        <w:gridCol w:w="1800"/>
      </w:tblGrid>
      <w:tr>
        <w:tc>
          <w:tcPr>
            <w:tcW w:type="dxa" w:w="20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Role Name</w:t>
            </w:r>
          </w:p>
        </w:tc>
        <w:tc>
          <w:tcPr>
            <w:tcW w:type="dxa" w:w="14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System Code</w:t>
            </w:r>
          </w:p>
        </w:tc>
        <w:tc>
          <w:tcPr>
            <w:tcW w:type="dxa" w:w="416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Responsibilities</w:t>
            </w:r>
          </w:p>
        </w:tc>
        <w:tc>
          <w:tcPr>
            <w:tcW w:type="dxa" w:w="18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Colour Code</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7"/>
                <w:szCs w:val="17"/>
              </w:rPr>
              <w:t xml:space="preserve">Organisation Admin</w:t>
            </w:r>
          </w:p>
        </w:tc>
        <w:tc>
          <w:tcPr>
            <w:tcW w:type="dxa" w:w="1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ourier New" w:cs="Courier New" w:eastAsia="Courier New" w:hAnsi="Courier New"/>
                <w:color w:val="1B2A4A"/>
                <w:sz w:val="16"/>
                <w:szCs w:val="16"/>
              </w:rPr>
              <w:t xml:space="preserve">ORG_ADMIN</w:t>
            </w:r>
          </w:p>
        </w:tc>
        <w:tc>
          <w:tcPr>
            <w:tcW w:type="dxa" w:w="41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Manages the organisation account, users, billing, global templates, and org-level settings. Not project-specific.</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 1B2A4A</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E5FA3"/>
                <w:sz w:val="17"/>
                <w:szCs w:val="17"/>
              </w:rPr>
              <w:t xml:space="preserve">Programme Manager</w:t>
            </w:r>
          </w:p>
        </w:tc>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2E5FA3"/>
                <w:sz w:val="16"/>
                <w:szCs w:val="16"/>
              </w:rPr>
              <w:t xml:space="preserve">PROG_MGR</w:t>
            </w:r>
          </w:p>
        </w:tc>
        <w:tc>
          <w:tcPr>
            <w:tcW w:type="dxa" w:w="4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Creates and manages programmes. Can see all projects within a programme. Manages cross-project reporting.</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E5FA3"/>
                <w:sz w:val="16"/>
                <w:szCs w:val="16"/>
              </w:rPr>
              <w:t xml:space="preserve">■ 2E5FA3</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E5FA3"/>
                <w:sz w:val="17"/>
                <w:szCs w:val="17"/>
              </w:rPr>
              <w:t xml:space="preserve">Test Manager</w:t>
            </w:r>
          </w:p>
        </w:tc>
        <w:tc>
          <w:tcPr>
            <w:tcW w:type="dxa" w:w="1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ourier New" w:cs="Courier New" w:eastAsia="Courier New" w:hAnsi="Courier New"/>
                <w:color w:val="2E5FA3"/>
                <w:sz w:val="16"/>
                <w:szCs w:val="16"/>
              </w:rPr>
              <w:t xml:space="preserve">TEST_MGR</w:t>
            </w:r>
          </w:p>
        </w:tc>
        <w:tc>
          <w:tcPr>
            <w:tcW w:type="dxa" w:w="41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Full control of a project's test activities. Manages test plans, assigns work, triages defects, approves closures, views all reports.</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E5FA3"/>
                <w:sz w:val="16"/>
                <w:szCs w:val="16"/>
              </w:rPr>
              <w:t xml:space="preserve">■ 2E5FA3</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Functional Consultant / BA</w:t>
            </w:r>
          </w:p>
        </w:tc>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00796B"/>
                <w:sz w:val="16"/>
                <w:szCs w:val="16"/>
              </w:rPr>
              <w:t xml:space="preserve">FUNC_CONSULT</w:t>
            </w:r>
          </w:p>
        </w:tc>
        <w:tc>
          <w:tcPr>
            <w:tcW w:type="dxa" w:w="4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Creates and owns requirements, test scenarios, and test cases. Reviews defects. No execution or triage.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 00796B</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Tester</w:t>
            </w:r>
          </w:p>
        </w:tc>
        <w:tc>
          <w:tcPr>
            <w:tcW w:type="dxa" w:w="1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ourier New" w:cs="Courier New" w:eastAsia="Courier New" w:hAnsi="Courier New"/>
                <w:color w:val="00796B"/>
                <w:sz w:val="16"/>
                <w:szCs w:val="16"/>
              </w:rPr>
              <w:t xml:space="preserve">TESTER</w:t>
            </w:r>
          </w:p>
        </w:tc>
        <w:tc>
          <w:tcPr>
            <w:tcW w:type="dxa" w:w="41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Executes assigned test cases. Logs defects from execution. Uploads evidence. Cannot create scenarios or plans.</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 00796B</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Developer / Engineer</w:t>
            </w:r>
          </w:p>
        </w:tc>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DEVELOPER</w:t>
            </w:r>
          </w:p>
        </w:tc>
        <w:tc>
          <w:tcPr>
            <w:tcW w:type="dxa" w:w="4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Receives assigned defects. Updates defect status and resolution. Cannot create test cases or access execution console.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6"/>
                <w:szCs w:val="16"/>
              </w:rPr>
              <w:t xml:space="preserve">■ 5B2C8D</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F59E0B"/>
                <w:sz w:val="17"/>
                <w:szCs w:val="17"/>
              </w:rPr>
              <w:t xml:space="preserve">Auditor / Compliance</w:t>
            </w:r>
          </w:p>
        </w:tc>
        <w:tc>
          <w:tcPr>
            <w:tcW w:type="dxa" w:w="1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ourier New" w:cs="Courier New" w:eastAsia="Courier New" w:hAnsi="Courier New"/>
                <w:color w:val="F59E0B"/>
                <w:sz w:val="16"/>
                <w:szCs w:val="16"/>
              </w:rPr>
              <w:t xml:space="preserve">AUDITOR</w:t>
            </w:r>
          </w:p>
        </w:tc>
        <w:tc>
          <w:tcPr>
            <w:tcW w:type="dxa" w:w="41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Read-only access to evidence, audit trail, RTM, and reports. Cannot create or modify any record.</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 F59E0B</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8A94B0"/>
                <w:sz w:val="17"/>
                <w:szCs w:val="17"/>
              </w:rPr>
              <w:t xml:space="preserve">Executive Stakeholder</w:t>
            </w:r>
          </w:p>
        </w:tc>
        <w:tc>
          <w:tcPr>
            <w:tcW w:type="dxa" w:w="1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8A94B0"/>
                <w:sz w:val="16"/>
                <w:szCs w:val="16"/>
              </w:rPr>
              <w:t xml:space="preserve">EXEC_VIEWER</w:t>
            </w:r>
          </w:p>
        </w:tc>
        <w:tc>
          <w:tcPr>
            <w:tcW w:type="dxa" w:w="41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Read-only access to Command Centre dashboard, Digital Twin, and Go-Live Readiness only. No access to test case detail.</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8A94B0"/>
                <w:sz w:val="16"/>
                <w:szCs w:val="16"/>
              </w:rPr>
              <w:t xml:space="preserve">■ 8A94B0</w:t>
            </w:r>
          </w:p>
        </w:tc>
      </w:tr>
    </w:tbl>
    <w:p>
      <w:pPr>
        <w:spacing w:before="40" w:after="40"/>
      </w:pPr>
      <w:r>
        <w:rPr>
          <w:rFonts w:ascii="Calibri" w:cs="Calibri" w:eastAsia="Calibri" w:hAnsi="Calibri"/>
        </w:rPr>
        <w:t xml:space="preserve"/>
      </w:r>
    </w:p>
    <w:p>
      <w:pPr>
        <w:spacing w:before="180" w:after="80"/>
      </w:pPr>
      <w:r>
        <w:rPr>
          <w:rFonts w:ascii="Calibri" w:cs="Calibri" w:eastAsia="Calibri" w:hAnsi="Calibri"/>
          <w:b/>
          <w:bCs/>
          <w:color w:val="00796B"/>
          <w:sz w:val="19"/>
          <w:szCs w:val="19"/>
        </w:rPr>
        <w:t xml:space="preserve">5.2 External / Partner Roles (Invited Organisations)</w:t>
      </w:r>
    </w:p>
    <w:p>
      <w:r>
        <w:rPr>
          <w:rFonts w:ascii="Calibri" w:cs="Calibri" w:eastAsia="Calibri" w:hAnsi="Calibri"/>
          <w:color w:val="555555"/>
          <w:sz w:val="18"/>
          <w:szCs w:val="18"/>
        </w:rPr>
        <w:t xml:space="preserve">External users are invited to a specific project by the project owner. They operate under restricted roles and can never see data outside their invited project or access global templates of the owning organisation.</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00"/>
        <w:gridCol w:w="5460"/>
      </w:tblGrid>
      <w:tr>
        <w:tc>
          <w:tcPr>
            <w:tcW w:type="dxa" w:w="21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External Role</w:t>
            </w:r>
          </w:p>
        </w:tc>
        <w:tc>
          <w:tcPr>
            <w:tcW w:type="dxa" w:w="18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System Code</w:t>
            </w:r>
          </w:p>
        </w:tc>
        <w:tc>
          <w:tcPr>
            <w:tcW w:type="dxa" w:w="546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Access Scope and Restrictions</w:t>
            </w:r>
          </w:p>
        </w:tc>
      </w:tr>
      <w:tr>
        <w:tc>
          <w:tcPr>
            <w:tcW w:type="dxa" w:w="21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Partner Test Manager</w:t>
            </w:r>
          </w:p>
        </w:tc>
        <w:tc>
          <w:tcPr>
            <w:tcW w:type="dxa" w:w="18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EXT_TEST_MGR</w:t>
            </w:r>
          </w:p>
        </w:tc>
        <w:tc>
          <w:tcPr>
            <w:tcW w:type="dxa" w:w="5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color w:val="555555"/>
                <w:sz w:val="17"/>
                <w:szCs w:val="17"/>
              </w:rPr>
              <w:t xml:space="preserve">SI or partner lead for testing. Full test management access within the project. Cannot see other projects of the owning org. Cannot access global templates.</w:t>
            </w:r>
          </w:p>
        </w:tc>
      </w:tr>
      <w:tr>
        <w:tc>
          <w:tcPr>
            <w:tcW w:type="dxa" w:w="21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Partner Consultant / BA</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EXT_FUNC_CONSULT</w:t>
            </w:r>
          </w:p>
        </w:tc>
        <w:tc>
          <w:tcPr>
            <w:tcW w:type="dxa" w:w="5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SI or partner BA creating scenarios and test cases. Same as internal FUNC_CONSULT but scoped to project only.</w:t>
            </w:r>
          </w:p>
        </w:tc>
      </w:tr>
      <w:tr>
        <w:tc>
          <w:tcPr>
            <w:tcW w:type="dxa" w:w="21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Partner Tester</w:t>
            </w:r>
          </w:p>
        </w:tc>
        <w:tc>
          <w:tcPr>
            <w:tcW w:type="dxa" w:w="18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EXT_TESTER</w:t>
            </w:r>
          </w:p>
        </w:tc>
        <w:tc>
          <w:tcPr>
            <w:tcW w:type="dxa" w:w="5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color w:val="555555"/>
                <w:sz w:val="17"/>
                <w:szCs w:val="17"/>
              </w:rPr>
              <w:t xml:space="preserve">SI or partner tester executing assigned test cases. Same as internal TESTER but scoped to project only.</w:t>
            </w:r>
          </w:p>
        </w:tc>
      </w:tr>
      <w:tr>
        <w:tc>
          <w:tcPr>
            <w:tcW w:type="dxa" w:w="21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Customer UAT Manager</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CUST_UAT_MGR</w:t>
            </w:r>
          </w:p>
        </w:tc>
        <w:tc>
          <w:tcPr>
            <w:tcW w:type="dxa" w:w="5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Customer-side UAT lead. Can view test plans and progress, manage UAT cycle assignments, approve test closure. Cannot access SIT or internal SI test plans.</w:t>
            </w:r>
          </w:p>
        </w:tc>
      </w:tr>
      <w:tr>
        <w:tc>
          <w:tcPr>
            <w:tcW w:type="dxa" w:w="21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Customer UAT Tester</w:t>
            </w:r>
          </w:p>
        </w:tc>
        <w:tc>
          <w:tcPr>
            <w:tcW w:type="dxa" w:w="18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CUST_UAT_TESTER</w:t>
            </w:r>
          </w:p>
        </w:tc>
        <w:tc>
          <w:tcPr>
            <w:tcW w:type="dxa" w:w="5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color w:val="555555"/>
                <w:sz w:val="17"/>
                <w:szCs w:val="17"/>
              </w:rPr>
              <w:t xml:space="preserve">Customer-side business user executing UAT test cases. Can only see UAT-tagged test cases assigned to them.</w:t>
            </w:r>
          </w:p>
        </w:tc>
      </w:tr>
      <w:tr>
        <w:tc>
          <w:tcPr>
            <w:tcW w:type="dxa" w:w="21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Customer Stakeholder</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CUST_STAKEHOLDER</w:t>
            </w:r>
          </w:p>
        </w:tc>
        <w:tc>
          <w:tcPr>
            <w:tcW w:type="dxa" w:w="5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Customer executive or sponsor. Read-only access to Command Centre and Go-Live Readiness. No detail screens.</w:t>
            </w:r>
          </w:p>
        </w:tc>
      </w:tr>
      <w:tr>
        <w:tc>
          <w:tcPr>
            <w:tcW w:type="dxa" w:w="21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Customer Developer</w:t>
            </w:r>
          </w:p>
        </w:tc>
        <w:tc>
          <w:tcPr>
            <w:tcW w:type="dxa" w:w="18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CUST_DEVELOPER</w:t>
            </w:r>
          </w:p>
        </w:tc>
        <w:tc>
          <w:tcPr>
            <w:tcW w:type="dxa" w:w="5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vAlign w:val="top"/>
          </w:tcPr>
          <w:p>
            <w:r>
              <w:rPr>
                <w:rFonts w:ascii="Calibri" w:cs="Calibri" w:eastAsia="Calibri" w:hAnsi="Calibri"/>
                <w:color w:val="555555"/>
                <w:sz w:val="17"/>
                <w:szCs w:val="17"/>
              </w:rPr>
              <w:t xml:space="preserve">Customer IT team member receiving and fixing defects raised by the SI or partner during testing.</w:t>
            </w:r>
          </w:p>
        </w:tc>
      </w:tr>
      <w:tr>
        <w:tc>
          <w:tcPr>
            <w:tcW w:type="dxa" w:w="21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5B2C8D"/>
                <w:sz w:val="17"/>
                <w:szCs w:val="17"/>
              </w:rPr>
              <w:t xml:space="preserve">Third-Party Auditor</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ourier New" w:cs="Courier New" w:eastAsia="Courier New" w:hAnsi="Courier New"/>
                <w:color w:val="5B2C8D"/>
                <w:sz w:val="16"/>
                <w:szCs w:val="16"/>
              </w:rPr>
              <w:t xml:space="preserve">EXT_AUDITOR</w:t>
            </w:r>
          </w:p>
        </w:tc>
        <w:tc>
          <w:tcPr>
            <w:tcW w:type="dxa" w:w="5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regulatory or compliance auditor. Read-only access to evidence, audit trail, and RTM only. Time-limited access.</w:t>
            </w:r>
          </w:p>
        </w:tc>
      </w:tr>
    </w:tbl>
    <w:p>
      <w:pPr>
        <w:spacing w:before="40" w:after="40"/>
      </w:pPr>
      <w:r>
        <w:rPr>
          <w:rFonts w:ascii="Calibri" w:cs="Calibri" w:eastAsia="Calibri" w:hAnsi="Calibri"/>
        </w:rPr>
        <w:t xml:space="preserve"/>
      </w:r>
    </w:p>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6. Cross-Organisation Sharing Rules</w:t>
      </w:r>
    </w:p>
    <w:p>
      <w:r>
        <w:rPr>
          <w:rFonts w:ascii="Calibri" w:cs="Calibri" w:eastAsia="Calibri" w:hAnsi="Calibri"/>
          <w:color w:val="555555"/>
          <w:sz w:val="18"/>
          <w:szCs w:val="18"/>
        </w:rPr>
        <w:t xml:space="preserve">The following rules govern what external/invited users can see and do within a shared project. These rules must be enforced at the API and database level, not only in the UI.</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1600"/>
        <w:gridCol w:w="3380"/>
        <w:gridCol w:w="1900"/>
        <w:gridCol w:w="1800"/>
      </w:tblGrid>
      <w:tr>
        <w:tc>
          <w:tcPr>
            <w:tcW w:type="dxa" w:w="6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Rule ID</w:t>
            </w:r>
          </w:p>
        </w:tc>
        <w:tc>
          <w:tcPr>
            <w:tcW w:type="dxa" w:w="16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Rule Name</w:t>
            </w:r>
          </w:p>
        </w:tc>
        <w:tc>
          <w:tcPr>
            <w:tcW w:type="dxa" w:w="33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Description</w:t>
            </w:r>
          </w:p>
        </w:tc>
        <w:tc>
          <w:tcPr>
            <w:tcW w:type="dxa" w:w="19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Enforcement Type</w:t>
            </w:r>
          </w:p>
        </w:tc>
        <w:tc>
          <w:tcPr>
            <w:tcW w:type="dxa" w:w="18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Applies To</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SR-01</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Project Isolation</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An invited external user can only access the specific project(s) they have been explicitly invited to.</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RLS</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SR-02</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Global Template Visibility</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users cannot see the owning organisation's global test case templates, scenario templates, or document library.</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RLS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SR-03</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Test Plan Visibility by Phase</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users only see test plans that match their access phase. Customer UAT roles see UAT plans only; SI roles see SIT plans.</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CONFIGURABLE per project</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UC3, UC4</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SR-04</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Defect Assignment Across Orgs</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 Test Manager from Org A may assign a defect to a Developer from Org B if that developer is an invited project member.</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ALLOWED — with audit log</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UC3, UC4</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SR-05</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Defect Reassignment</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An external developer (e.g. customer dev) who resolves a defect may reassign it back to any tester on the project regardless of org.</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ALLOWED — with audit log</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UC4</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SR-06</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Evidence Access</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Evidence files are visible to all project members by default. Can be flagged as Internal Only, in which case only owning-org users see them.</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CONFIGURABLE per file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UC2, UC4</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SR-07</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Requirements Visibility</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Partner Consultants may view and edit requirements. Customer UAT roles may view requirements but cannot edit.</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CONFIGURABLE per role</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UC3, UC4</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SR-08</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Audit Trail Access</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users can view audit trail entries for actions they performed. Full audit trail (all users) is visible to Test Manager and Auditor roles only.</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RLS</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SR-09</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Notification Cross-Org</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System notifications (defect assigned, test ready for retest, etc.) are sent to the relevant user regardless of which org they belong to.</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ALWAYS ON</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SR-10</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Dashboard Visibility</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Executive Stakeholder and Customer Stakeholder roles see Command Centre summary only. No drill-down to test case detail or individual execution results.</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role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UC1, UC4</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SR-11</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Project Invitation Approval</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users can only join a project via an invitation issued by the owning org's Test Manager or Org Admin. They cannot self-join.</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workflow</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SR-12</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Access Expiry</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External user access to a project automatically expires on the project's defined end date unless explicitly extended by an Org Admin.</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CONFIGURABLE — default ON</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SR-13</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Cross-Project Visibility for SI</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An SI Test Manager invited to multiple client projects within Jiganto cannot see across those client projects. Each project is a separate context.</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enforced by RLS</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UC3</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SR-14</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Global vs Project Defects</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 software product company (UC2) may allow customers to log defects directly into a product project. These are flagged as External Origin and routed through triage before acceptance.</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CONFIGURABLE per project</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UC2</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SR-15</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Test Case Ownership Transfer</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Ownership of a test case can be transferred between users across orgs within the same project. Both parties receive notification. Audit log records the transfer.</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6"/>
                <w:szCs w:val="16"/>
              </w:rPr>
              <w:t xml:space="preserve">ALLOWED — with audit log</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UC3, UC4</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SR-16</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Document / Evidence Encryption</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Evidence files and attached documents are encrypted at rest. External users access via pre-signed time-limited URLs, never direct storage access.</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infrastructure</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SR-17</w:t>
            </w:r>
          </w:p>
        </w:tc>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GDPR / Data Residency</w:t>
            </w:r>
          </w:p>
        </w:tc>
        <w:tc>
          <w:tcPr>
            <w:tcW w:type="dxa" w:w="33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Personal data (user names, emails) in audit logs must comply with the owning org's data residency settings. External user data is governed by the project invitation agreement.</w:t>
            </w:r>
          </w:p>
        </w:tc>
        <w:tc>
          <w:tcPr>
            <w:tcW w:type="dxa" w:w="19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HARD — compliance</w:t>
            </w:r>
          </w:p>
        </w:tc>
        <w:tc>
          <w:tcPr>
            <w:tcW w:type="dxa" w:w="18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8A94B0"/>
                <w:sz w:val="16"/>
                <w:szCs w:val="16"/>
              </w:rPr>
              <w:t xml:space="preserve">All Use Cases</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SR-18</w:t>
            </w:r>
          </w:p>
        </w:tc>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2C2C2C"/>
                <w:sz w:val="17"/>
                <w:szCs w:val="17"/>
              </w:rPr>
              <w:t xml:space="preserve">Programme-Level Cross-Project View</w:t>
            </w:r>
          </w:p>
        </w:tc>
        <w:tc>
          <w:tcPr>
            <w:tcW w:type="dxa" w:w="33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A Programme Manager may have a cross-project view across all projects within their programme. This view shows aggregate readiness only — no individual test case data.</w:t>
            </w:r>
          </w:p>
        </w:tc>
        <w:tc>
          <w:tcPr>
            <w:tcW w:type="dxa" w:w="19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F59E0B"/>
                <w:sz w:val="16"/>
                <w:szCs w:val="16"/>
              </w:rPr>
              <w:t xml:space="preserve">ROLE RESTRICTED</w:t>
            </w:r>
          </w:p>
        </w:tc>
        <w:tc>
          <w:tcPr>
            <w:tcW w:type="dxa" w:w="18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8A94B0"/>
                <w:sz w:val="16"/>
                <w:szCs w:val="16"/>
              </w:rPr>
              <w:t xml:space="preserve">UC1, UC4</w:t>
            </w:r>
          </w:p>
        </w:tc>
      </w:tr>
    </w:tbl>
    <w:p>
      <w:pPr>
        <w:spacing w:before="40" w:after="40"/>
      </w:pPr>
      <w:r>
        <w:rPr>
          <w:rFonts w:ascii="Calibri" w:cs="Calibri" w:eastAsia="Calibri" w:hAnsi="Calibri"/>
        </w:rPr>
        <w:t xml:space="preserve"/>
      </w:r>
    </w:p>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7. Access Scenarios by Use Case</w:t>
      </w:r>
    </w:p>
    <w:p>
      <w:pPr>
        <w:spacing w:before="180" w:after="80"/>
      </w:pPr>
      <w:r>
        <w:rPr>
          <w:rFonts w:ascii="Calibri" w:cs="Calibri" w:eastAsia="Calibri" w:hAnsi="Calibri"/>
          <w:b/>
          <w:bCs/>
          <w:color w:val="00796B"/>
          <w:sz w:val="19"/>
          <w:szCs w:val="19"/>
        </w:rPr>
        <w:t xml:space="preserve">Use Case 1 — Professional Services / PMO Company</w:t>
      </w:r>
    </w:p>
    <w:p>
      <w:r>
        <w:rPr>
          <w:rFonts w:ascii="Calibri" w:cs="Calibri" w:eastAsia="Calibri" w:hAnsi="Calibri"/>
          <w:color w:val="555555"/>
          <w:sz w:val="18"/>
          <w:szCs w:val="18"/>
        </w:rPr>
        <w:t xml:space="preserve">A PS firm manages projects for multiple clients. Each client is a separate project. PS consultants work across multiple client projects simultaneously. Clients may be granted read-only access to see their own project status.</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60"/>
        <w:gridCol w:w="240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Role</w:t>
            </w:r>
          </w:p>
        </w:tc>
        <w:tc>
          <w:tcPr>
            <w:tcW w:type="dxa" w:w="15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System Code</w:t>
            </w:r>
          </w:p>
        </w:tc>
        <w:tc>
          <w:tcPr>
            <w:tcW w:type="dxa" w:w="34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Responsibilities</w:t>
            </w:r>
          </w:p>
        </w:tc>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Access Scope</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PS Org Admin</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ORG_ADMIN</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Manages all PS firm projects. Sees all projects. Controls global templates shared across PS consultants.</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Full system — own org only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PS Programme Manager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PROG_MGR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Oversees multiple client delivery programmes. Sees aggregate reporting across their assigned programmes.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Programme-level view across assigned programmes. No other client data.</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PS Test Manager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TEST_MGR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Leads testing on one or more client projects. Full control of test activity on their assigned projects only.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All test screens within assigned projects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PS Functional Consultant</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FUNC_CONSULT</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Creates requirements, scenarios, test cases across multiple client projects they are members of.</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Planning screens on assigned projects only</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PS Tester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TESTER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Executes test cases on assigned projects. May be on multiple client projects simultaneously.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Execution Console + Defect Board on assigned projects</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Client Executive</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CUST_STAKEHOLDER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Client senior stakeholder. Invited to their project as read-only. Sees Command Centre and Go-Live Readiness.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Dashboard + Digital Twin read-only. No test detail.</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Client Test Lead</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CUST_UAT_MGR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Client's own UAT manager. Manages UAT cycle on their project. Can assign UAT testers and approve closure.</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UAT-phase test plans, RTM, Defect Triage (UAT defects only)</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Client UAT User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CUST_UAT_TESTER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Business user running UAT. Sees only their assigned UAT test cases.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Execution Console — UAT test cases only</w:t>
            </w:r>
          </w:p>
        </w:tc>
      </w:tr>
    </w:tbl>
    <w:p>
      <w:pPr>
        <w:spacing w:before="40" w:after="40"/>
      </w:pPr>
      <w:r>
        <w:rPr>
          <w:rFonts w:ascii="Calibri" w:cs="Calibri" w:eastAsia="Calibri" w:hAnsi="Calibri"/>
        </w:rPr>
        <w:t xml:space="preserve"/>
      </w:r>
    </w:p>
    <w:p>
      <w:pPr>
        <w:spacing w:before="180" w:after="80"/>
      </w:pPr>
      <w:r>
        <w:rPr>
          <w:rFonts w:ascii="Calibri" w:cs="Calibri" w:eastAsia="Calibri" w:hAnsi="Calibri"/>
          <w:b/>
          <w:bCs/>
          <w:color w:val="00796B"/>
          <w:sz w:val="19"/>
          <w:szCs w:val="19"/>
        </w:rPr>
        <w:t xml:space="preserve">Use Case 2 — Software Product Company</w:t>
      </w:r>
    </w:p>
    <w:p>
      <w:r>
        <w:rPr>
          <w:rFonts w:ascii="Calibri" w:cs="Calibri" w:eastAsia="Calibri" w:hAnsi="Calibri"/>
          <w:color w:val="555555"/>
          <w:sz w:val="18"/>
          <w:szCs w:val="18"/>
        </w:rPr>
        <w:t xml:space="preserve">An ISV manages its own product releases. Testing is done internally across multiple versions. Customers and implementation partners may be granted limited access to log defects or conduct UAT against a specific release.</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60"/>
        <w:gridCol w:w="240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Role</w:t>
            </w:r>
          </w:p>
        </w:tc>
        <w:tc>
          <w:tcPr>
            <w:tcW w:type="dxa" w:w="15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System Code</w:t>
            </w:r>
          </w:p>
        </w:tc>
        <w:tc>
          <w:tcPr>
            <w:tcW w:type="dxa" w:w="34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Responsibilities</w:t>
            </w:r>
          </w:p>
        </w:tc>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Access Scope</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Product Org Admin</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ORG_ADMIN</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Manages the product company tenant. Controls all releases, access, and global test libraries.</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Full system — own org only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Product Test Manager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TEST_MGR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Manages testing for a specific product release. Controls regression cycles, defect triage, go-live decisions.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All test screens for their release project</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QA Engineer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FUNC_CONSULT</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Writes and maintains test cases for the product. Owns the automated test case library.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Planning screens — own projects</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Product Developer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DEVELOPER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Receives defects. Fixes and updates status. May link defects to code commits.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Defect Triage (own assigned defects only)</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Customer UAT Manager</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CUST_UAT_MGR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Customer invited to test their deployment of the product. Manages their UAT cycle.</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UAT-phase plans and execution on their project only</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Customer UAT Tester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CUST_UAT_TESTER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Customer end-user conducting UAT. Runs assigned tests, logs defects via simple form.</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Execution Console (UAT) + Defect log form only</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Implementation Partner</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EXT_FUNC_CONSULT</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Partner implementing the product for a customer. Can contribute test scenarios and run SIT.</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SIT phase test plans on their assigned project only</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Regulatory Auditor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EXT_AUDITOR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External auditor reviewing test evidence for compliance. Time-limited access.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Audit Trail + Evidence + RTM — read-only, time-limited</w:t>
            </w:r>
          </w:p>
        </w:tc>
      </w:tr>
    </w:tbl>
    <w:p>
      <w:pPr>
        <w:spacing w:before="40" w:after="40"/>
      </w:pPr>
      <w:r>
        <w:rPr>
          <w:rFonts w:ascii="Calibri" w:cs="Calibri" w:eastAsia="Calibri" w:hAnsi="Calibri"/>
        </w:rPr>
        <w:t xml:space="preserve"/>
      </w:r>
    </w:p>
    <w:p>
      <w:r>
        <w:br w:type="page"/>
      </w:r>
    </w:p>
    <w:p>
      <w:pPr>
        <w:spacing w:before="180" w:after="80"/>
      </w:pPr>
      <w:r>
        <w:rPr>
          <w:rFonts w:ascii="Calibri" w:cs="Calibri" w:eastAsia="Calibri" w:hAnsi="Calibri"/>
          <w:b/>
          <w:bCs/>
          <w:color w:val="00796B"/>
          <w:sz w:val="19"/>
          <w:szCs w:val="19"/>
        </w:rPr>
        <w:t xml:space="preserve">Use Case 3 — System Integrator (CRM / ERP / SaaS)</w:t>
      </w:r>
    </w:p>
    <w:p>
      <w:r>
        <w:rPr>
          <w:rFonts w:ascii="Calibri" w:cs="Calibri" w:eastAsia="Calibri" w:hAnsi="Calibri"/>
          <w:color w:val="555555"/>
          <w:sz w:val="18"/>
          <w:szCs w:val="18"/>
        </w:rPr>
        <w:t xml:space="preserve">An SI manages multiple simultaneous ERP/CRM implementations for different clients. SI consultants and testers may work across several client projects. Each client project is fully isolated. The SI owns the test methodology and templates.</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60"/>
        <w:gridCol w:w="240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Role</w:t>
            </w:r>
          </w:p>
        </w:tc>
        <w:tc>
          <w:tcPr>
            <w:tcW w:type="dxa" w:w="15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System Code</w:t>
            </w:r>
          </w:p>
        </w:tc>
        <w:tc>
          <w:tcPr>
            <w:tcW w:type="dxa" w:w="34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Responsibilities</w:t>
            </w:r>
          </w:p>
        </w:tc>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Access Scope</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SI Org Admin</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ORG_ADMIN</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Manages the SI tenant. Controls global test templates used across all client projects. Manages consultant roster.</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Full SI system. No access to client tenants directly.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SI Delivery Manager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PROG_MGR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Oversees multiple client implementations. Sees aggregate programme health across their assigned programmes.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Programme view across assigned client projects only</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SI Test Manager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TEST_MGR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Leads testing for a specific client project. Invited as EXT_TEST_MGR on that client's project if client owns it.</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All test screens on their assigned client project</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SI Functional Consultant</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EXT_FUNC_CONSULT</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Creates requirements, scenarios, test cases on the client's project.</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Planning screens on their client project only. No SI global templates visible to client.</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SI Tester</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EXT_TESTER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Executes test cases on the client implementation. May run SIT and Integration Testing phases.</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Execution Console + Defect Board for their phase and project</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Client Test Manager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CUST_UAT_MGR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Client's own test lead. Manages UAT cycle. Can see SI's SIT results in read-only mode for RTM purposes.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UAT management + RTM read-only + Defect Triage for UAT defects</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Client UAT Tester</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CUST_UAT_TESTER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Client business user running UAT test cases.</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Execution Console — UAT test cases assigned to them only</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Client IT Developer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CUST_DEVELOPER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Client IT team fixing configuration defects raised by SI. Receives defects, updates status.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Defect Triage — own assigned defects only</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Client Executive</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CUST_STAKEHOLDER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Client steering committee member. Invited for Go-Live Readiness visibility.</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Command Centre + Digital Twin — read-only. No test detail.</w:t>
            </w:r>
          </w:p>
        </w:tc>
      </w:tr>
    </w:tbl>
    <w:p>
      <w:pPr>
        <w:spacing w:before="40" w:after="40"/>
      </w:pPr>
      <w:r>
        <w:rPr>
          <w:rFonts w:ascii="Calibri" w:cs="Calibri" w:eastAsia="Calibri" w:hAnsi="Calibri"/>
        </w:rPr>
        <w:t xml:space="preserve"/>
      </w:r>
    </w:p>
    <w:p>
      <w:pPr>
        <w:spacing w:before="180" w:after="80"/>
      </w:pPr>
      <w:r>
        <w:rPr>
          <w:rFonts w:ascii="Calibri" w:cs="Calibri" w:eastAsia="Calibri" w:hAnsi="Calibri"/>
          <w:b/>
          <w:bCs/>
          <w:color w:val="00796B"/>
          <w:sz w:val="19"/>
          <w:szCs w:val="19"/>
        </w:rPr>
        <w:t xml:space="preserve">Use Case 4 — Customer Mandating Jiganto with Implementation Partner</w:t>
      </w:r>
    </w:p>
    <w:p>
      <w:r>
        <w:rPr>
          <w:rFonts w:ascii="Calibri" w:cs="Calibri" w:eastAsia="Calibri" w:hAnsi="Calibri"/>
          <w:color w:val="555555"/>
          <w:sz w:val="18"/>
          <w:szCs w:val="18"/>
        </w:rPr>
        <w:t xml:space="preserve">The customer owns the Jiganto tenant and the project. The SI or implementation partner is invited as an external collaborator. The customer enforces Jiganto as the single tool for all testing, project management, and documentation. This is the most complex access model.</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60"/>
        <w:gridCol w:w="2400"/>
      </w:tblGrid>
      <w:tr>
        <w:tc>
          <w:tcPr>
            <w:tcW w:type="dxa" w:w="20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Role</w:t>
            </w:r>
          </w:p>
        </w:tc>
        <w:tc>
          <w:tcPr>
            <w:tcW w:type="dxa" w:w="15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System Code</w:t>
            </w:r>
          </w:p>
        </w:tc>
        <w:tc>
          <w:tcPr>
            <w:tcW w:type="dxa" w:w="346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Responsibilities</w:t>
            </w:r>
          </w:p>
        </w:tc>
        <w:tc>
          <w:tcPr>
            <w:tcW w:type="dxa" w:w="2400"/>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tcPr>
          <w:p>
            <w:r>
              <w:rPr>
                <w:rFonts w:ascii="Calibri" w:cs="Calibri" w:eastAsia="Calibri" w:hAnsi="Calibri"/>
                <w:b/>
                <w:bCs/>
                <w:color w:val="FFFFFF"/>
                <w:sz w:val="17"/>
                <w:szCs w:val="17"/>
              </w:rPr>
              <w:t xml:space="preserve">Access Scope</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Customer Org Admin</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ORG_ADMIN</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Customer IT/PMO admin. Controls the tenant, all projects, global templates, and user invitations. Issues invitations to SI.</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Full system — own org only</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Customer Programme Manager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PROG_MGR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Customer PMO lead overseeing the programme. Cross-project view for programme health.</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Programme view across all customer-owned projects</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Customer Test Manager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TEST_MGR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Customer's lead for UAT and overall test governance. Approves test closure. Full triage visibility.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All test screens. Can view SI SIT results in RTM.</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Customer BA</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FUNC_CONSULT</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Customer business analyst owning requirements. Creates and approves test scenarios.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Requirements, Scenarios, RTM — own projects</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Customer UAT Tester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TESTER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Customer business user running UAT. Can also validate fixes via retest.</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Execution Console — UAT phase + Retest queue</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SI Test Manager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EXT_TEST_MGR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SI lead for SIT and integration testing. Invited by customer. Manages SI test team on this project.</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Full test access for SIT/Integration phase only. Cannot access customer global templates.</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SI Functional Consultant</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EXT_FUNC_CONSULT</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SI BA/consultant creating test scenarios and test cases. Works within customer's project structure.</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Planning screens — SIT/Integration phase test cases and scenarios. Cannot see customer-flagged Internal documents.</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SI Tester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EXT_TESTER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SI tester executing SIT and integration tests. Logs defects visible to all project members.</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Execution Console (SIT phase) + Defect logging</w:t>
            </w:r>
          </w:p>
        </w:tc>
      </w:tr>
      <w:tr>
        <w:tc>
          <w:tcPr>
            <w:tcW w:type="dxa" w:w="20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b/>
                <w:bCs/>
                <w:color w:val="5B2C8D"/>
                <w:sz w:val="17"/>
                <w:szCs w:val="17"/>
              </w:rPr>
              <w:t xml:space="preserve">SI Developer</w:t>
            </w:r>
          </w:p>
        </w:tc>
        <w:tc>
          <w:tcPr>
            <w:tcW w:type="dxa" w:w="15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ourier New" w:cs="Courier New" w:eastAsia="Courier New" w:hAnsi="Courier New"/>
                <w:color w:val="5B2C8D"/>
                <w:sz w:val="16"/>
                <w:szCs w:val="16"/>
              </w:rPr>
              <w:t xml:space="preserve">EXT_DEVELOPER</w:t>
            </w:r>
          </w:p>
        </w:tc>
        <w:tc>
          <w:tcPr>
            <w:tcW w:type="dxa" w:w="346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2C2C2C"/>
                <w:sz w:val="17"/>
                <w:szCs w:val="17"/>
              </w:rPr>
              <w:t xml:space="preserve">SI developer fixing defects assigned by the customer Test Manager. Updates defect status to Fixed.</w:t>
            </w:r>
          </w:p>
        </w:tc>
        <w:tc>
          <w:tcPr>
            <w:tcW w:type="dxa" w:w="2400"/>
            <w:tcBorders>
              <w:top w:val="single" w:color="C5CDD8" w:sz="1"/>
              <w:left w:val="single" w:color="C5CDD8" w:sz="1"/>
              <w:bottom w:val="single" w:color="C5CDD8" w:sz="1"/>
              <w:right w:val="single" w:color="C5CDD8" w:sz="1"/>
            </w:tcBorders>
            <w:shd w:fill="EDE0F7" w:val="clear"/>
            <w:tcMar>
              <w:top w:type="dxa" w:w="80"/>
              <w:left w:type="dxa" w:w="120"/>
              <w:bottom w:type="dxa" w:w="80"/>
              <w:right w:type="dxa" w:w="120"/>
            </w:tcMar>
          </w:tcPr>
          <w:p>
            <w:r>
              <w:rPr>
                <w:rFonts w:ascii="Calibri" w:cs="Calibri" w:eastAsia="Calibri" w:hAnsi="Calibri"/>
                <w:color w:val="444444"/>
                <w:sz w:val="17"/>
                <w:szCs w:val="17"/>
              </w:rPr>
              <w:t xml:space="preserve">Defect Triage — own assigned defects only. Cannot see other SI or customer defects not assigned to them.</w:t>
            </w:r>
          </w:p>
        </w:tc>
      </w:tr>
      <w:tr>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b/>
                <w:bCs/>
                <w:color w:val="1B2A4A"/>
                <w:sz w:val="17"/>
                <w:szCs w:val="17"/>
              </w:rPr>
              <w:t xml:space="preserve">Customer IT Developer</w:t>
            </w:r>
          </w:p>
        </w:tc>
        <w:tc>
          <w:tcPr>
            <w:tcW w:type="dxa" w:w="15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ourier New" w:cs="Courier New" w:eastAsia="Courier New" w:hAnsi="Courier New"/>
                <w:color w:val="1B2A4A"/>
                <w:sz w:val="16"/>
                <w:szCs w:val="16"/>
              </w:rPr>
              <w:t xml:space="preserve">DEVELOPER</w:t>
            </w:r>
          </w:p>
        </w:tc>
        <w:tc>
          <w:tcPr>
            <w:tcW w:type="dxa" w:w="346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2C2C2C"/>
                <w:sz w:val="17"/>
                <w:szCs w:val="17"/>
              </w:rPr>
              <w:t xml:space="preserve">Customer IT team member fixing configuration defects. Works alongside SI developers.</w:t>
            </w:r>
          </w:p>
        </w:tc>
        <w:tc>
          <w:tcPr>
            <w:tcW w:type="dxa" w:w="24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tcPr>
          <w:p>
            <w:r>
              <w:rPr>
                <w:rFonts w:ascii="Calibri" w:cs="Calibri" w:eastAsia="Calibri" w:hAnsi="Calibri"/>
                <w:color w:val="444444"/>
                <w:sz w:val="17"/>
                <w:szCs w:val="17"/>
              </w:rPr>
              <w:t xml:space="preserve">Defect Triage — own assigned defects. Can see RTM in read-only.</w:t>
            </w:r>
          </w:p>
        </w:tc>
      </w:tr>
      <w:tr>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b/>
                <w:bCs/>
                <w:color w:val="1B2A4A"/>
                <w:sz w:val="17"/>
                <w:szCs w:val="17"/>
              </w:rPr>
              <w:t xml:space="preserve">Customer Steering Member</w:t>
            </w:r>
          </w:p>
        </w:tc>
        <w:tc>
          <w:tcPr>
            <w:tcW w:type="dxa" w:w="15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ourier New" w:cs="Courier New" w:eastAsia="Courier New" w:hAnsi="Courier New"/>
                <w:color w:val="1B2A4A"/>
                <w:sz w:val="16"/>
                <w:szCs w:val="16"/>
              </w:rPr>
              <w:t xml:space="preserve">EXEC_VIEWER</w:t>
            </w:r>
          </w:p>
        </w:tc>
        <w:tc>
          <w:tcPr>
            <w:tcW w:type="dxa" w:w="346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2C2C2C"/>
                <w:sz w:val="17"/>
                <w:szCs w:val="17"/>
              </w:rPr>
              <w:t xml:space="preserve">C-suite or steering committee. Invited for programme visibility.</w:t>
            </w:r>
          </w:p>
        </w:tc>
        <w:tc>
          <w:tcPr>
            <w:tcW w:type="dxa" w:w="24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tcPr>
          <w:p>
            <w:r>
              <w:rPr>
                <w:rFonts w:ascii="Calibri" w:cs="Calibri" w:eastAsia="Calibri" w:hAnsi="Calibri"/>
                <w:color w:val="444444"/>
                <w:sz w:val="17"/>
                <w:szCs w:val="17"/>
              </w:rPr>
              <w:t xml:space="preserve">Command Centre dashboard + Go-Live Readiness only. No detail.</w:t>
            </w:r>
          </w:p>
        </w:tc>
      </w:tr>
      <w:tr>
        <w:tc>
          <w:tcPr>
            <w:tcW w:type="dxa" w:w="20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b/>
                <w:bCs/>
                <w:color w:val="5B2C8D"/>
                <w:sz w:val="17"/>
                <w:szCs w:val="17"/>
              </w:rPr>
              <w:t xml:space="preserve">Third-Party Auditor</w:t>
            </w:r>
          </w:p>
        </w:tc>
        <w:tc>
          <w:tcPr>
            <w:tcW w:type="dxa" w:w="15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ourier New" w:cs="Courier New" w:eastAsia="Courier New" w:hAnsi="Courier New"/>
                <w:color w:val="5B2C8D"/>
                <w:sz w:val="16"/>
                <w:szCs w:val="16"/>
              </w:rPr>
              <w:t xml:space="preserve">EXT_AUDITOR</w:t>
            </w:r>
          </w:p>
        </w:tc>
        <w:tc>
          <w:tcPr>
            <w:tcW w:type="dxa" w:w="346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2C2C2C"/>
                <w:sz w:val="17"/>
                <w:szCs w:val="17"/>
              </w:rPr>
              <w:t xml:space="preserve">External compliance auditor. Time-limited invitation.</w:t>
            </w:r>
          </w:p>
        </w:tc>
        <w:tc>
          <w:tcPr>
            <w:tcW w:type="dxa" w:w="2400"/>
            <w:tcBorders>
              <w:top w:val="single" w:color="C5CDD8" w:sz="1"/>
              <w:left w:val="single" w:color="C5CDD8" w:sz="1"/>
              <w:bottom w:val="single" w:color="C5CDD8" w:sz="1"/>
              <w:right w:val="single" w:color="C5CDD8" w:sz="1"/>
            </w:tcBorders>
            <w:shd w:fill="F5EDFC" w:val="clear"/>
            <w:tcMar>
              <w:top w:type="dxa" w:w="80"/>
              <w:left w:type="dxa" w:w="120"/>
              <w:bottom w:type="dxa" w:w="80"/>
              <w:right w:type="dxa" w:w="120"/>
            </w:tcMar>
          </w:tcPr>
          <w:p>
            <w:r>
              <w:rPr>
                <w:rFonts w:ascii="Calibri" w:cs="Calibri" w:eastAsia="Calibri" w:hAnsi="Calibri"/>
                <w:color w:val="444444"/>
                <w:sz w:val="17"/>
                <w:szCs w:val="17"/>
              </w:rPr>
              <w:t xml:space="preserve">Audit Trail + Evidence + RTM read-only. Access expires on defined date.</w:t>
            </w:r>
          </w:p>
        </w:tc>
      </w:tr>
    </w:tbl>
    <w:p>
      <w:pPr>
        <w:spacing w:before="40" w:after="40"/>
      </w:pPr>
      <w:r>
        <w:rPr>
          <w:rFonts w:ascii="Calibri" w:cs="Calibri" w:eastAsia="Calibri" w:hAnsi="Calibri"/>
        </w:rPr>
        <w:t xml:space="preserve"/>
      </w:r>
    </w:p>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8. Detailed Permission Matrix</w:t>
      </w:r>
    </w:p>
    <w:p>
      <w:r>
        <w:rPr>
          <w:rFonts w:ascii="Calibri" w:cs="Calibri" w:eastAsia="Calibri" w:hAnsi="Calibri"/>
          <w:color w:val="555555"/>
          <w:sz w:val="18"/>
          <w:szCs w:val="18"/>
        </w:rPr>
        <w:t xml:space="preserve">The matrix below defines what each internal role can do across every module. ✓ = Full access, R = Read-only, — = No access, C = Configurable per project setup.</w:t>
      </w:r>
    </w:p>
    <w:p>
      <w:pPr>
        <w:spacing w:before="40" w:after="40"/>
      </w:pPr>
      <w:r>
        <w:rPr>
          <w:rFonts w:ascii="Calibri" w:cs="Calibri" w:eastAsia="Calibri" w:hAnsi="Calibri"/>
        </w:rPr>
        <w:t xml:space="preserve"/>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1600"/>
        <w:gridCol w:w="580"/>
        <w:gridCol w:w="580"/>
        <w:gridCol w:w="580"/>
        <w:gridCol w:w="580"/>
        <w:gridCol w:w="580"/>
        <w:gridCol w:w="580"/>
        <w:gridCol w:w="580"/>
        <w:gridCol w:w="580"/>
      </w:tblGrid>
      <w:tr>
        <w:tc>
          <w:tcPr>
            <w:tcW w:type="dxa" w:w="16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Module</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ORG
ADMIN</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PROG
MGR</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TEST
MGR</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FUNC
CONSULT</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TESTER</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DEVELOPER</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AUDITOR</w:t>
            </w:r>
          </w:p>
        </w:tc>
        <w:tc>
          <w:tcPr>
            <w:tcW w:type="dxa" w:w="5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EXEC
VIEWER</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Command Centre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Digital Twin</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Test Navigator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Scenarios</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Test Cases</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RTM</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Import &amp; Templates</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Execution Console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Defect Triage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Defect Board</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Audit Trail</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Global Templates</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F59E0B"/>
                <w:sz w:val="17"/>
                <w:szCs w:val="17"/>
              </w:rPr>
              <w:t xml:space="preserve">C</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F59E0B"/>
                <w:sz w:val="17"/>
                <w:szCs w:val="17"/>
              </w:rPr>
              <w:t xml:space="preserve">C</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Project Settings</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2E5FA3"/>
                <w:sz w:val="17"/>
                <w:szCs w:val="17"/>
              </w:rPr>
              <w:t xml:space="preserve">R</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r>
        <w:tc>
          <w:tcPr>
            <w:tcW w:type="dxa" w:w="16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User Management</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1E7E34"/>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F59E0B"/>
                <w:sz w:val="17"/>
                <w:szCs w:val="17"/>
              </w:rPr>
              <w:t xml:space="preserve">C</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c>
          <w:tcPr>
            <w:tcW w:type="dxa" w:w="5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pPr>
              <w:jc w:val="center"/>
            </w:pPr>
            <w:r>
              <w:rPr>
                <w:rFonts w:ascii="Calibri" w:cs="Calibri" w:eastAsia="Calibri" w:hAnsi="Calibri"/>
                <w:b/>
                <w:bCs/>
                <w:color w:val="8A94B0"/>
                <w:sz w:val="17"/>
                <w:szCs w:val="17"/>
              </w:rPr>
              <w:t xml:space="preserve">—</w:t>
            </w:r>
          </w:p>
        </w:tc>
      </w:tr>
    </w:tbl>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C8D" w:sz="4"/>
              <w:left w:val="single" w:color="5B2C8D" w:sz="12"/>
              <w:bottom w:val="single" w:color="5B2C8D" w:sz="1"/>
              <w:right w:val="single" w:color="5B2C8D" w:sz="1"/>
            </w:tcBorders>
            <w:shd w:fill="EDE0F7" w:val="clear"/>
            <w:tcMar>
              <w:top w:type="dxa" w:w="100"/>
              <w:left w:type="dxa" w:w="160"/>
              <w:bottom w:type="dxa" w:w="100"/>
              <w:right w:type="dxa" w:w="100"/>
            </w:tcMar>
          </w:tcPr>
          <w:p>
            <w:r>
              <w:rPr>
                <w:rFonts w:ascii="Calibri" w:cs="Calibri" w:eastAsia="Calibri" w:hAnsi="Calibri"/>
                <w:color w:val="2C2C2C"/>
                <w:sz w:val="17"/>
                <w:szCs w:val="17"/>
              </w:rPr>
              <w:t xml:space="preserve">EXTERNAL ROLES: External roles (EXT_TEST_MGR, EXT_TESTER, CUST_UAT_MGR etc.) follow the same matrix as their internal equivalents BUT are additionally restricted to: (a) their assigned project only, (b) their assigned test phase only (SIT / UAT / Integration), and (c) have no access to the owning organisation's Global Templates or Org-level settings.</w:t>
            </w:r>
          </w:p>
        </w:tc>
      </w:tr>
    </w:tbl>
    <w:p>
      <w:r>
        <w:br w:type="page"/>
      </w:r>
    </w:p>
    <w:p>
      <w:pPr>
        <w:pStyle w:val="Heading1"/>
        <w:pBdr>
          <w:bottom w:val="single" w:color="2E5FA3" w:sz="6" w:space="4"/>
        </w:pBdr>
        <w:spacing w:before="320" w:after="160"/>
      </w:pPr>
      <w:r>
        <w:rPr>
          <w:rFonts w:ascii="Calibri" w:cs="Calibri" w:eastAsia="Calibri" w:hAnsi="Calibri"/>
          <w:b/>
          <w:bCs/>
          <w:color w:val="1B2A4A"/>
          <w:sz w:val="28"/>
          <w:szCs w:val="28"/>
        </w:rPr>
        <w:t xml:space="preserve">9. Replit Build Notes &amp; Implementation Guidance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000"/>
        <w:gridCol w:w="6680"/>
      </w:tblGrid>
      <w:tr>
        <w:tc>
          <w:tcPr>
            <w:tcW w:type="dxa" w:w="6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Ref</w:t>
            </w:r>
          </w:p>
        </w:tc>
        <w:tc>
          <w:tcPr>
            <w:tcW w:type="dxa" w:w="20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Area</w:t>
            </w:r>
          </w:p>
        </w:tc>
        <w:tc>
          <w:tcPr>
            <w:tcW w:type="dxa" w:w="66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Guidance</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BN-01</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Database Schema Priority</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Add organisations, projects, project_types, project_memberships, and role_permissions tables before any other table. Every other table must include org_id and project_id as indexed foreign keys.</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BN-02</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Row-Level Security</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Implement PostgreSQL RLS policies on all tables. The policy condition should be: user belongs to an organisation that owns or is an invited member of the project that owns this record.</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BN-03</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JWT Token Claims</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The authentication token (JWT) must include: user_id, org_id, and an array of { project_id, role } objects. The API uses these claims for all access decisions — never re-query org membership on every request.</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BN-04</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Project Selector UI</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The sidebar header must include a project selector dropdown showing all projects the logged-in user is a member of, scoped to their org context. All screens filter by selected project_id.</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BN-05</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Phase-Gated Access</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Test plans and test cases must have a phase field (SIT / UAT / Integration / Regression etc.). External role access should be filtered by allowed phases defined in the project_memberships record.</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BN-06</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Invitation Workflow</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Build an invitation system: Org Admin or Test Manager generates an invite link scoped to a project and role. The invitee registers or logs in and is automatically assigned that role on that project. Invites expire after 72 hours.</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BN-07</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Evidence Access URLs</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Evidence files must never be publicly accessible. Use pre-signed S3/R2 URLs with a 15-minute expiry. Log every evidence access in the audit trail including user, timestamp, and IP.</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BN-08</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Audit Log Immutability</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The audit_log table must be INSERT-only. No UPDATE or DELETE permitted even by ORG_ADMIN. Implement this as a database-level constraint.</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BN-09</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External User Expiry</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Project membership records must have an expires_at field. A scheduled job checks daily and revokes access for expired memberships. The affected user receives an email notification 3 days before expiry.</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BN-10</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Cross-Org Defect Routing</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When a defect is assigned to a user from a different organisation, validate that the assignee is an active member of the same project with a DEVELOPER or relevant role before saving. Send notification to assignee.</w:t>
            </w:r>
          </w:p>
        </w:tc>
      </w:tr>
      <w:tr>
        <w:tc>
          <w:tcPr>
            <w:tcW w:type="dxa" w:w="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BN-11</w:t>
            </w:r>
          </w:p>
        </w:tc>
        <w:tc>
          <w:tcPr>
            <w:tcW w:type="dxa" w:w="200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Global Template Isolation</w:t>
            </w:r>
          </w:p>
        </w:tc>
        <w:tc>
          <w:tcPr>
            <w:tcW w:type="dxa" w:w="6680"/>
            <w:tcBorders>
              <w:top w:val="single" w:color="C5CDD8" w:sz="1"/>
              <w:left w:val="single" w:color="C5CDD8" w:sz="1"/>
              <w:bottom w:val="single" w:color="C5CDD8" w:sz="1"/>
              <w:right w:val="single" w:color="C5CDD8" w:sz="1"/>
            </w:tcBorders>
            <w:shd w:fill="F2F4F7" w:val="clear"/>
            <w:tcMar>
              <w:top w:type="dxa" w:w="80"/>
              <w:left w:type="dxa" w:w="120"/>
              <w:bottom w:type="dxa" w:w="80"/>
              <w:right w:type="dxa" w:w="120"/>
            </w:tcMar>
            <w:vAlign w:val="top"/>
          </w:tcPr>
          <w:p>
            <w:r>
              <w:rPr>
                <w:rFonts w:ascii="Calibri" w:cs="Calibri" w:eastAsia="Calibri" w:hAnsi="Calibri"/>
                <w:color w:val="555555"/>
                <w:sz w:val="17"/>
                <w:szCs w:val="17"/>
              </w:rPr>
              <w:t xml:space="preserve">Global templates are tagged with org_id only — no project_id. API queries for templates must filter by org_id = requesting user's org_id. External users never receive templates from the owning org.</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1B2A4A"/>
                <w:sz w:val="16"/>
                <w:szCs w:val="16"/>
              </w:rPr>
              <w:t xml:space="preserve">BN-12</w:t>
            </w:r>
          </w:p>
        </w:tc>
        <w:tc>
          <w:tcPr>
            <w:tcW w:type="dxa" w:w="20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00796B"/>
                <w:sz w:val="17"/>
                <w:szCs w:val="17"/>
              </w:rPr>
              <w:t xml:space="preserve">Notification Engine</w:t>
            </w:r>
          </w:p>
        </w:tc>
        <w:tc>
          <w:tcPr>
            <w:tcW w:type="dxa" w:w="6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Build a notification service that fires on: defect assigned, defect status changed to Fixed (→ notify assigned tester), test case execution submitted (→ notify test manager), access expiry warning (→ notify user + org admin).</w:t>
            </w:r>
          </w:p>
        </w:tc>
      </w:tr>
    </w:tbl>
    <w:p>
      <w:pPr>
        <w:spacing w:before="40" w:after="40"/>
      </w:pPr>
      <w:r>
        <w:rPr>
          <w:rFonts w:ascii="Calibri" w:cs="Calibri" w:eastAsia="Calibri" w:hAnsi="Calibri"/>
        </w:rPr>
        <w:t xml:space="preserve"/>
      </w:r>
    </w:p>
    <w:p>
      <w:pPr>
        <w:pStyle w:val="Heading1"/>
        <w:pBdr>
          <w:bottom w:val="single" w:color="2E5FA3" w:sz="6" w:space="4"/>
        </w:pBdr>
        <w:spacing w:before="320" w:after="160"/>
      </w:pPr>
      <w:r>
        <w:rPr>
          <w:rFonts w:ascii="Calibri" w:cs="Calibri" w:eastAsia="Calibri" w:hAnsi="Calibri"/>
          <w:b/>
          <w:bCs/>
          <w:color w:val="1B2A4A"/>
          <w:sz w:val="28"/>
          <w:szCs w:val="28"/>
        </w:rPr>
        <w:t xml:space="preserve">10. Open Questions for Sign-Off</w:t>
      </w:r>
    </w:p>
    <w:p>
      <w:r>
        <w:rPr>
          <w:rFonts w:ascii="Calibri" w:cs="Calibri" w:eastAsia="Calibri" w:hAnsi="Calibri"/>
          <w:color w:val="555555"/>
          <w:sz w:val="18"/>
          <w:szCs w:val="18"/>
        </w:rPr>
        <w:t xml:space="preserve">The following decisions are required before the Replit build can proceed on the access control implementation.</w:t>
      </w:r>
    </w:p>
    <w:p>
      <w:pPr>
        <w:spacing w:before="40" w:after="4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2200"/>
        <w:gridCol w:w="6480"/>
      </w:tblGrid>
      <w:tr>
        <w:tc>
          <w:tcPr>
            <w:tcW w:type="dxa" w:w="6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Ref</w:t>
            </w:r>
          </w:p>
        </w:tc>
        <w:tc>
          <w:tcPr>
            <w:tcW w:type="dxa" w:w="220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Topic</w:t>
            </w:r>
          </w:p>
        </w:tc>
        <w:tc>
          <w:tcPr>
            <w:tcW w:type="dxa" w:w="6480"/>
            <w:gridSpan w:val="1"/>
            <w:tcBorders>
              <w:top w:val="single" w:color="C5CDD8" w:sz="1"/>
              <w:left w:val="single" w:color="C5CDD8" w:sz="1"/>
              <w:bottom w:val="single" w:color="C5CDD8" w:sz="1"/>
              <w:right w:val="single" w:color="C5CDD8" w:sz="1"/>
            </w:tcBorders>
            <w:shd w:fill="1B2A4A" w:val="clear"/>
            <w:tcMar>
              <w:top w:type="dxa" w:w="80"/>
              <w:left w:type="dxa" w:w="120"/>
              <w:bottom w:type="dxa" w:w="80"/>
              <w:right w:type="dxa" w:w="120"/>
            </w:tcMar>
            <w:vAlign w:val="center"/>
          </w:tcPr>
          <w:p>
            <w:pPr>
              <w:jc w:val="center"/>
            </w:pPr>
            <w:r>
              <w:rPr>
                <w:rFonts w:ascii="Calibri" w:cs="Calibri" w:eastAsia="Calibri" w:hAnsi="Calibri"/>
                <w:b/>
                <w:bCs/>
                <w:color w:val="FFFFFF"/>
                <w:sz w:val="17"/>
                <w:szCs w:val="17"/>
              </w:rPr>
              <w:t xml:space="preserve">Question &amp; Context</w:t>
            </w:r>
          </w:p>
        </w:tc>
      </w:tr>
      <w:tr>
        <w:tc>
          <w:tcPr>
            <w:tcW w:type="dxa" w:w="6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Q-01</w:t>
            </w:r>
          </w:p>
        </w:tc>
        <w:tc>
          <w:tcPr>
            <w:tcW w:type="dxa" w:w="220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Project Type Feature Flags</w:t>
            </w:r>
          </w:p>
        </w:tc>
        <w:tc>
          <w:tcPr>
            <w:tcW w:type="dxa" w:w="64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color w:val="555555"/>
                <w:sz w:val="17"/>
                <w:szCs w:val="17"/>
              </w:rPr>
              <w:t xml:space="preserve">Which project types should disable which modules? e.g. POC disables Compliance Audit Trail; Training disables Defect Triage. Needs a feature flag matrix per project type.</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Q-02</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Cross-Org Defect Visibility</w:t>
            </w:r>
          </w:p>
        </w:tc>
        <w:tc>
          <w:tcPr>
            <w:tcW w:type="dxa" w:w="6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In UC4, can the Customer Test Manager see ALL defects including those logged by the SI against SIT test cases — or only defects that have been triaged and accepted? Define the default and whether it is configurable.</w:t>
            </w:r>
          </w:p>
        </w:tc>
      </w:tr>
      <w:tr>
        <w:tc>
          <w:tcPr>
            <w:tcW w:type="dxa" w:w="6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Q-03</w:t>
            </w:r>
          </w:p>
        </w:tc>
        <w:tc>
          <w:tcPr>
            <w:tcW w:type="dxa" w:w="220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UAT Signoff / Approval Workflow</w:t>
            </w:r>
          </w:p>
        </w:tc>
        <w:tc>
          <w:tcPr>
            <w:tcW w:type="dxa" w:w="64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color w:val="555555"/>
                <w:sz w:val="17"/>
                <w:szCs w:val="17"/>
              </w:rPr>
              <w:t xml:space="preserve">Does the customer UAT Manager need a formal sign-off screen to approve test closure (with e-signature or checkbox approval) before go-live readiness score reaches 100%? This affects the approval workflow design.</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Q-04</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Programme-Level Reporting</w:t>
            </w:r>
          </w:p>
        </w:tc>
        <w:tc>
          <w:tcPr>
            <w:tcW w:type="dxa" w:w="6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For UC1 and UC4, does the Programme Manager need to see aggregate test health across multiple projects in a single view? If yes, this requires a programme-level reporting query that aggregates across project_ids.</w:t>
            </w:r>
          </w:p>
        </w:tc>
      </w:tr>
      <w:tr>
        <w:tc>
          <w:tcPr>
            <w:tcW w:type="dxa" w:w="6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Q-05</w:t>
            </w:r>
          </w:p>
        </w:tc>
        <w:tc>
          <w:tcPr>
            <w:tcW w:type="dxa" w:w="220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Billing and Seat Licensing</w:t>
            </w:r>
          </w:p>
        </w:tc>
        <w:tc>
          <w:tcPr>
            <w:tcW w:type="dxa" w:w="6480"/>
            <w:tcBorders>
              <w:top w:val="single" w:color="C5CDD8" w:sz="1"/>
              <w:left w:val="single" w:color="C5CDD8" w:sz="1"/>
              <w:bottom w:val="single" w:color="C5CDD8" w:sz="1"/>
              <w:right w:val="single" w:color="C5CDD8" w:sz="1"/>
            </w:tcBorders>
            <w:shd w:fill="FDECEA" w:val="clear"/>
            <w:tcMar>
              <w:top w:type="dxa" w:w="80"/>
              <w:left w:type="dxa" w:w="120"/>
              <w:bottom w:type="dxa" w:w="80"/>
              <w:right w:type="dxa" w:w="120"/>
            </w:tcMar>
            <w:vAlign w:val="top"/>
          </w:tcPr>
          <w:p>
            <w:r>
              <w:rPr>
                <w:rFonts w:ascii="Calibri" w:cs="Calibri" w:eastAsia="Calibri" w:hAnsi="Calibri"/>
                <w:color w:val="555555"/>
                <w:sz w:val="17"/>
                <w:szCs w:val="17"/>
              </w:rPr>
              <w:t xml:space="preserve">How are external/invited users billed? Options: (a) billed to the inviting org, (b) billed to the external user's org, (c) free up to a limit then charged. This affects the invitation workflow design.</w:t>
            </w:r>
          </w:p>
        </w:tc>
      </w:tr>
      <w:tr>
        <w:tc>
          <w:tcPr>
            <w:tcW w:type="dxa" w:w="6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6"/>
                <w:szCs w:val="16"/>
              </w:rPr>
              <w:t xml:space="preserve">Q-06</w:t>
            </w:r>
          </w:p>
        </w:tc>
        <w:tc>
          <w:tcPr>
            <w:tcW w:type="dxa" w:w="220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b/>
                <w:bCs/>
                <w:color w:val="C0392B"/>
                <w:sz w:val="17"/>
                <w:szCs w:val="17"/>
              </w:rPr>
              <w:t xml:space="preserve">Data Residency</w:t>
            </w:r>
          </w:p>
        </w:tc>
        <w:tc>
          <w:tcPr>
            <w:tcW w:type="dxa" w:w="6480"/>
            <w:tcBorders>
              <w:top w:val="single" w:color="C5CDD8" w:sz="1"/>
              <w:left w:val="single" w:color="C5CDD8" w:sz="1"/>
              <w:bottom w:val="single" w:color="C5CDD8" w:sz="1"/>
              <w:right w:val="single" w:color="C5CDD8" w:sz="1"/>
            </w:tcBorders>
            <w:shd w:fill="FFFFFF" w:val="clear"/>
            <w:tcMar>
              <w:top w:type="dxa" w:w="80"/>
              <w:left w:type="dxa" w:w="120"/>
              <w:bottom w:type="dxa" w:w="80"/>
              <w:right w:type="dxa" w:w="120"/>
            </w:tcMar>
            <w:vAlign w:val="top"/>
          </w:tcPr>
          <w:p>
            <w:r>
              <w:rPr>
                <w:rFonts w:ascii="Calibri" w:cs="Calibri" w:eastAsia="Calibri" w:hAnsi="Calibri"/>
                <w:color w:val="555555"/>
                <w:sz w:val="17"/>
                <w:szCs w:val="17"/>
              </w:rPr>
              <w:t xml:space="preserve">Must data for specific customer tenants be stored in a specific geographic region (e.g. EU-only for GDPR-sensitive clients)? If yes, multi-region storage must be designed into the infrastructure from day one.</w:t>
            </w:r>
          </w:p>
        </w:tc>
      </w:tr>
    </w:tbl>
    <w:p>
      <w:pPr>
        <w:spacing w:before="80" w:after="80"/>
      </w:pPr>
      <w:r>
        <w:rPr>
          <w:rFonts w:ascii="Calibri" w:cs="Calibri" w:eastAsia="Calibri" w:hAnsi="Calibri"/>
        </w:rPr>
        <w:t xml:space="preserve"/>
      </w:r>
    </w:p>
    <w:p>
      <w:pPr>
        <w:jc w:val="center"/>
      </w:pPr>
      <w:r>
        <w:rPr>
          <w:rFonts w:ascii="Calibri" w:cs="Calibri" w:eastAsia="Calibri" w:hAnsi="Calibri"/>
          <w:color w:val="8A94B0"/>
          <w:sz w:val="16"/>
          <w:szCs w:val="16"/>
        </w:rPr>
        <w:t xml:space="preserve">End of Document — Jiganto Test Management Module · Cross-Organisation Access Rules v1.0 · March 2026</w:t>
      </w:r>
    </w:p>
    <w:sectPr>
      <w:headerReference w:type="default" r:id="rId6"/>
      <w:footerReference w:type="default" r:id="rId7"/>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A94B0"/>
        <w:sz w:val="16"/>
        <w:szCs w:val="16"/>
      </w:rPr>
      <w:t xml:space="preserve">v1.0  ·  March 2026  ·  </w:t>
    </w:r>
    <w:r>
      <w:rPr>
        <w:rFonts w:ascii="Calibri" w:cs="Calibri" w:eastAsia="Calibri" w:hAnsi="Calibri"/>
        <w:color w:val="8A94B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b/>
        <w:bCs/>
        <w:color w:val="1B2A4A"/>
        <w:sz w:val="17"/>
        <w:szCs w:val="17"/>
      </w:rPr>
      <w:t xml:space="preserve">JIGANTO  </w:t>
    </w:r>
    <w:r>
      <w:rPr>
        <w:rFonts w:ascii="Calibri" w:cs="Calibri" w:eastAsia="Calibri" w:hAnsi="Calibri"/>
        <w:color w:val="8A94B0"/>
        <w:sz w:val="16"/>
        <w:szCs w:val="16"/>
      </w:rPr>
      <w:t xml:space="preserve">Test Management Module  ·  Cross-Organisation Access Rules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Calibri" w:cs="Calibri" w:eastAsia="Calibri" w:hAnsi="Calibri"/>
      <w:b/>
      <w:bCs/>
      <w:color w:val="1B2A4A"/>
      <w:sz w:val="32"/>
      <w:szCs w:val="32"/>
    </w:rPr>
  </w:style>
  <w:style w:type="paragraph" w:styleId="Heading2">
    <w:name w:val="Heading 2"/>
    <w:basedOn w:val="Normal"/>
    <w:next w:val="Normal"/>
    <w:qFormat/>
    <w:pPr>
      <w:spacing w:before="240" w:after="120"/>
      <w:outlineLvl w:val="1"/>
    </w:pPr>
    <w:rPr>
      <w:rFonts w:ascii="Calibri" w:cs="Calibri" w:eastAsia="Calibri" w:hAnsi="Calibri"/>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2026-03-11T18:59:52.341Z</dcterms:created>
  <dcterms:modified xsi:type="dcterms:W3CDTF">2026-03-11T18:59:52.342Z</dcterms:modified>
</cp:coreProperties>
</file>

<file path=docProps/custom.xml><?xml version="1.0" encoding="utf-8"?>
<Properties xmlns="http://schemas.openxmlformats.org/officeDocument/2006/custom-properties" xmlns:vt="http://schemas.openxmlformats.org/officeDocument/2006/docPropsVTypes"/>
</file>