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C26998" w:rsidRDefault="00C26998" w:rsidP="00C2699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Надпись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2F2C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">
                <o:lock v:ext="edit" selection="t"/>
              </v:shape>
            </w:pict>
          </mc:Fallback>
        </mc:AlternateContent>
      </w:r>
      <w:r w:rsidR="005629E2" w:rsidRPr="00562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ВЗАИМОДЕЙСТВИЕ МЕЖДУ ИНОСТРАННЫМИ СТУДЕНТАМИ И ПРЕПОДАВАТЕЛЯМИ ПРИНИМАЮЩЕГО УНИВЕРСИТЕТА В КЛАССЕ И ВНЕ КЛАССА</w:t>
      </w:r>
    </w:p>
    <w:bookmarkEnd w:id="0"/>
    <w:p w:rsidR="00C26998" w:rsidRPr="00555C35" w:rsidRDefault="00C26998" w:rsidP="00C26998">
      <w:pPr>
        <w:shd w:val="clear" w:color="auto" w:fill="FFFFFF"/>
        <w:spacing w:after="0" w:line="240" w:lineRule="auto"/>
        <w:ind w:firstLine="340"/>
        <w:contextualSpacing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26998" w:rsidRDefault="00C26998" w:rsidP="00C26998">
      <w:pPr>
        <w:shd w:val="clear" w:color="auto" w:fill="FFFFFF"/>
        <w:spacing w:after="0" w:line="240" w:lineRule="auto"/>
        <w:ind w:firstLine="340"/>
        <w:contextualSpacing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55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А. С. </w:t>
      </w:r>
      <w:proofErr w:type="spellStart"/>
      <w:r w:rsidRPr="00555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Саламова</w:t>
      </w:r>
      <w:proofErr w:type="spellEnd"/>
      <w:r w:rsidRPr="00555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, к.э.н.</w:t>
      </w:r>
    </w:p>
    <w:p w:rsidR="00C26998" w:rsidRDefault="00C26998" w:rsidP="00C26998">
      <w:pPr>
        <w:shd w:val="clear" w:color="auto" w:fill="FFFFFF"/>
        <w:spacing w:after="0" w:line="240" w:lineRule="auto"/>
        <w:ind w:firstLine="340"/>
        <w:contextualSpacing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55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Доцент кафедры "Экономическая теория и предпринимательство"</w:t>
      </w:r>
    </w:p>
    <w:p w:rsidR="00C26998" w:rsidRDefault="00C26998" w:rsidP="00C26998">
      <w:pPr>
        <w:shd w:val="clear" w:color="auto" w:fill="FFFFFF"/>
        <w:spacing w:after="0" w:line="240" w:lineRule="auto"/>
        <w:ind w:firstLine="340"/>
        <w:contextualSpacing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55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Чеченский государственный</w:t>
      </w:r>
    </w:p>
    <w:p w:rsidR="00C26998" w:rsidRDefault="00C26998" w:rsidP="00C26998">
      <w:pPr>
        <w:shd w:val="clear" w:color="auto" w:fill="FFFFFF"/>
        <w:spacing w:after="0" w:line="240" w:lineRule="auto"/>
        <w:ind w:firstLine="340"/>
        <w:contextualSpacing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55C3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Университет им. А. А. Кадырова</w:t>
      </w:r>
    </w:p>
    <w:p w:rsidR="00C26998" w:rsidRPr="00555C35" w:rsidRDefault="00C26998" w:rsidP="00C26998">
      <w:pPr>
        <w:shd w:val="clear" w:color="auto" w:fill="FFFFFF"/>
        <w:spacing w:after="0" w:line="240" w:lineRule="auto"/>
        <w:ind w:firstLine="340"/>
        <w:contextualSpacing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</w:p>
    <w:p w:rsidR="00C26998" w:rsidRDefault="00C26998" w:rsidP="00696F9D">
      <w:pPr>
        <w:pStyle w:val="a3"/>
        <w:shd w:val="clear" w:color="auto" w:fill="FFFFFF"/>
        <w:spacing w:after="0"/>
        <w:ind w:firstLine="340"/>
        <w:contextualSpacing/>
        <w:jc w:val="both"/>
        <w:textAlignment w:val="baseline"/>
        <w:rPr>
          <w:i/>
          <w:color w:val="000000"/>
          <w:kern w:val="36"/>
          <w:sz w:val="28"/>
          <w:szCs w:val="28"/>
          <w:bdr w:val="none" w:sz="0" w:space="0" w:color="auto" w:frame="1"/>
        </w:rPr>
      </w:pPr>
      <w:r w:rsidRPr="00555C35">
        <w:rPr>
          <w:b/>
          <w:bCs/>
          <w:i/>
          <w:color w:val="000000"/>
          <w:kern w:val="36"/>
          <w:sz w:val="28"/>
          <w:szCs w:val="28"/>
          <w:bdr w:val="none" w:sz="0" w:space="0" w:color="auto" w:frame="1"/>
        </w:rPr>
        <w:t xml:space="preserve">Аннотация. </w:t>
      </w:r>
      <w:r w:rsidR="00645E65" w:rsidRPr="00645E65">
        <w:rPr>
          <w:i/>
          <w:color w:val="000000"/>
          <w:kern w:val="36"/>
          <w:sz w:val="28"/>
          <w:szCs w:val="28"/>
          <w:bdr w:val="none" w:sz="0" w:space="0" w:color="auto" w:frame="1"/>
        </w:rPr>
        <w:t>Критическая роль взаимодействия преподавателя и студента в образовательных результатах студентов, чувстве принадлежности, а также психологическом и социальном благополучии делает взаимодействие преподавателя и студента между иностранными студентами и их преподавателями в принимающих университетах достойным исследования. Используя модель языка, идентичности и инвестиций Нортона для изучения взаимодействия китайских учеников в классе с австралийскими учителями, мы обнаружили, что китайские ученики склонны избегать взаимодействия в классе. Хотя этот вывод, по-видимому, обусловлен языковыми и культурными причинами, модель Нортона, похоже, обеспечивает более глубокую интерпретацию нежелания наших участников вкладывать средства во взаимодействие учителя и ученика в классе, особенно с добавлением элемента «культуры» к модель. Внеклассное взаимодействие учеников с австралийскими учителями, по-видимому, свидетельствует о напряженности в межкультурном общении: большинство участников предпочитали устное, личное и немедленное общение с использованием телефонов и приложений социальных сетей, а не электронной почты. Обсуждаются предложения по улучшению межкультурного понимания и взаимодействия между иностранными студентами и преподавателями принимающих университетов.</w:t>
      </w:r>
    </w:p>
    <w:p w:rsidR="00C26998" w:rsidRDefault="00C26998" w:rsidP="00C26998">
      <w:pPr>
        <w:shd w:val="clear" w:color="auto" w:fill="FFFFFF"/>
        <w:spacing w:after="0" w:line="240" w:lineRule="auto"/>
        <w:ind w:firstLine="340"/>
        <w:contextualSpacing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55C35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Ключевые слова. </w:t>
      </w:r>
      <w:r w:rsidRPr="00E513F9">
        <w:rPr>
          <w:rFonts w:ascii="Times New Roman" w:eastAsia="Times New Roman" w:hAnsi="Times New Roman" w:cs="Times New Roman"/>
          <w:i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практическа</w:t>
      </w:r>
      <w:r>
        <w:rPr>
          <w:rFonts w:ascii="Times New Roman" w:eastAsia="Times New Roman" w:hAnsi="Times New Roman" w:cs="Times New Roman"/>
          <w:i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я работа, студенты, образование, обратная связь</w:t>
      </w:r>
      <w:r w:rsidRPr="00555C3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.</w:t>
      </w:r>
    </w:p>
    <w:p w:rsidR="00C26998" w:rsidRPr="00B47E48" w:rsidRDefault="00C26998" w:rsidP="00C26998">
      <w:pPr>
        <w:shd w:val="clear" w:color="auto" w:fill="FFFFFF"/>
        <w:spacing w:after="0" w:line="240" w:lineRule="auto"/>
        <w:ind w:firstLine="340"/>
        <w:contextualSpacing/>
        <w:jc w:val="both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</w:p>
    <w:p w:rsidR="005629E2" w:rsidRPr="005629E2" w:rsidRDefault="005629E2" w:rsidP="005629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С быстрым развитием международной мобильности увеличивается число иностранных студентов в таких странах, как Великобритания, США и Австралия. Например, общее число иностранных студентов, зачисленных в Австралию в период с января по апрель 2020 года, составило 694 118 человек, причем половина из них была зачислена в университетский сектор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Department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of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Education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Skills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Employment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2020 ). Если для страны транснациональное образование ценится как национальный проект, то для личности оно означает приобретение более широкого спектра культурного капитала и, следовательно, статуса гражданина мира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Chung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al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., 2018 ).</w:t>
      </w:r>
    </w:p>
    <w:p w:rsidR="005629E2" w:rsidRPr="005629E2" w:rsidRDefault="005629E2" w:rsidP="005629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lastRenderedPageBreak/>
        <w:t xml:space="preserve">Большой объем исследований изучает опыт аккультурации иностранных студентов с академической, социальной и психологической точек зрения (например,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Андраде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2006 ;</w:t>
      </w:r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Райт и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Шартнер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2013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Чжэн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, 2017 ). Большинство этих исследований затрагивают взаимодействие иностранных студентов с преподавателями принимающих университетов в классе (например,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Heng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2018 ;</w:t>
      </w:r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Holmes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2006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Wang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Bai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2020 ), но их взаимодействие с преподавателями вне класса изучено не так много, несмотря на множество исследований. исследования внеаудиторного взаимодействия учителя и ученика (ВСТ) между учителями и отечественными учащимися. Тем не менее, результаты исследований TSI в сфере высшего образования (взаимодействие преподавателей и студентов в контексте США) показывают, что качество и частота этого взаимодействия, как в классе, так и вне класса, влияют на чувство принадлежности студентов, что имеет большое значение. имеют первостепенное значение для удержания студентов, являются хорошими предсказателями их обучения и способствуют эмоциональному и интеллектуальному развитию учащихся (например,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Astin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1984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Cox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Orehovec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2007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Glass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al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., 2015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Kim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Sax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, 2009 ).</w:t>
      </w:r>
    </w:p>
    <w:p w:rsidR="005629E2" w:rsidRDefault="005629E2" w:rsidP="005629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TSI кажется особенно важным для иностранных студентов, поскольку они приезжают в принимающие страны с желанием получить богатый академический, языковой и культурный опыт. Они хотят стать «международными людьми»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Fang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Wang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, 2014 ), быть глубоко вовлеченными в жизнь принимающей страны и взаимодействовать с местным населением. Среди этих людей — преподаватели университетов, с которыми они, возможно, чаще всего общаются. Таким образом, данное исследование направлено на то, чтобы изучить, используют ли иностранные студенты возможности взаимодействия со своими учителями как в классе, так и вне класса, и какие факторы влияют на эти две формы взаимодействия. Это исследование вносит свой вклад в литературу по транснациональному высшему образованию, принимая модель языка, идентичности и инвестиций Нортона в качестве аналитического инструмента для объяснения взаимодействия иностранных студентов в классе с принимающими учителями и расширяя исходную модель, добавляя культуру как важный фактор. элемент. Другой вклад, который он вносит, включает в себя обнаружение несоответствия в предпочтениях межличностного общения между китайскими студентами и их австралийскими учителями, что дает представление о традиционных китайских ценностях, а также о практике использования современных коммуникационных технологий в Китае.</w:t>
      </w:r>
    </w:p>
    <w:p w:rsidR="005629E2" w:rsidRPr="005629E2" w:rsidRDefault="005629E2" w:rsidP="005629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По некоторым данным и в ранних исследованиях, иностранные студенты, особенно студенты из Восточной Азии, как правило, изображаются как пассивные ученики, которые с большей вероятностью примут поверхностный подход к обучению и не имеют навыков критического мышления (например,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Ballard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1987 ;</w:t>
      </w:r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Watkins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Biggs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2001 ). . Эти «черты», по-видимому, особенно проявляются в формальном взаимодействии в классе как с преподавателями, так и со своими сокурсниками. Сообщается, что </w:t>
      </w: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lastRenderedPageBreak/>
        <w:t xml:space="preserve">иностранные студенты ограниченно участвуют в обсуждениях в классе и редко задают вопросы в западных классах (например,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Kettle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2005 ;</w:t>
      </w:r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Liu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2002 ). Кроме того, исследователи и преподаватели наблюдают подобное молчание учащихся в классе в таких странах, как Корея, Япония и Китай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Jin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Cortazzi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2008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Kim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al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., 2016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William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2017 ), что, по-видимому, усиливает их негативное впечатление о Азиатские ученики. Действительно, исследования китайских исследователей также показывают, что китайские учащиеся не только молчат в классах высших учебных заведений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Lei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al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., 2017 ), но и их желание взаимодействовать в классе, похоже, снижается в начальной школе 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Tang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al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., 2020 ). Несмотря на недавние исследования, основанные на активах, посвященные азиатским академическим культурам, которые поощряют независимое мышление, а также исследования,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проблематизирующие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европоцентричный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взгляд на участие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Мюррей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МакКонахи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2018 ), иностранные студенты, как правило, не взаимодействуют так активно, как ожидают преподаватели в области «коммуникативного обучения». -тяжелые» западные классы ( Ха и Ли, 2014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Мюррей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МакКонахи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2018 : 260; Ван и Москаль, 2019 ). Некоторые предпочитают оставлять вопросы до окончания урока, а не задавать их на уроке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Leedham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2015 ). С другой стороны, иностранные студенты выражают недоумение по поводу того, что преподаватели в принимающих университетах держат их «на расстоянии вытянутой руки», предлагая мало поддержки, особенно после занятий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Ballard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1987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Hellsten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Prescott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2004 ), и не давая «правильных» ответов. своим академическим вопросам 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Ballard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, 1987 ).</w:t>
      </w:r>
    </w:p>
    <w:p w:rsidR="005629E2" w:rsidRDefault="005629E2" w:rsidP="005629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Хотя и иностранные студенты, и преподаватели принимающих их университетов испытывают некоторые трудности при взаимодействии друг с другом, большинство исследований указывают на языковые барьеры и культурные различия как на причины взаимодействия иностранных студентов в классе с принимающими преподавателями (например,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Sovic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2013 ;</w:t>
      </w:r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Wang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Moskal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). , 2019 ).</w:t>
      </w:r>
    </w:p>
    <w:p w:rsidR="005629E2" w:rsidRPr="005629E2" w:rsidRDefault="005629E2" w:rsidP="005629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Язык обычно является наиболее простым объяснением отсутствия взаимодействия в классе, которое дают иностранные студенты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Sawir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2005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Wang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al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., 2016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Wu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2015 ). Хотя они прошли вступительный языковой тест или его эквивалент, они все равно могут быть неспособны адаптироваться к темпу речи лекторов, их акценту, использованию идиоматических выражений и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замолканию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в конце предложения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Sovic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2013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Wang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и др., 2016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Ву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2015 ). Разгадывая тайну «молчаливых» иностранных студентов,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Савир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(2005) обнаружил, что в дополнение к модели трансмиссионного образования, ориентированной на преподавателя, в преподавании английского языка уделяется большое внимание грамматике, чтению и письму, а также недостатку (хорошего) изучения языка. , а также упор на точность, а не беглость в предыдущем изучении английского языка студентами, следует винить в ограниченной коммуникативной компетентности иностранных студентов на английском языке. Кроме того, они стесняются своего акцента, недостаточной беглости речи, несовершенства грамматики и того, что они </w:t>
      </w: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lastRenderedPageBreak/>
        <w:t xml:space="preserve">могут звучать по-детски при использовании второго языка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Hellsten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Prescott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2004 ). Все эти «недостатки» в их лингвистической компетентности могут оказывать негативное психологическое воздействие на иностранных студентов, приводя к тревоге, снижению уверенности и нежеланию общаться в классе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Аояма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Такахаши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2020 ). Лингвисты давно заметили, что занятия иностранным языком могут вызывать у учащихся тревогу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Horwitz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et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al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., 1986 ), а опасения общения и страх негативной оценки являются двумя из трех конструктов (коммуникативное восприятие, тревожность перед экзаменом и страх негативной оценки). по ее шкале тревожности на уроках иностранного языка. Английский является иностранным языком для китайских иностранных студентов, поэтому, по мнению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Хорвица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и др., они изучают английский язык. (1986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) ,</w:t>
      </w:r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может вызвать беспокойство, что, в свою очередь, удержит их от активного взаимодействия с принимающими учителями. Тревога может усугубляться, когда австралийские классы заполнены местными учениками, для которых английский является родным языком (L1)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(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Liu</w:t>
      </w:r>
      <w:proofErr w:type="spellEnd"/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2002 ;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Takahashi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, 2019 ).</w:t>
      </w:r>
    </w:p>
    <w:p w:rsidR="005629E2" w:rsidRDefault="005629E2" w:rsidP="005629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Несмотря на эти языковые проблемы, с которыми сталкиваются иностранные студенты, недавние исследования ставят под сомнение дефицит и посторонний дискурс, преобладающий в исследованиях языковой компетентности иностранных студентов (например, Фам и </w:t>
      </w:r>
      <w:proofErr w:type="spell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Тран</w:t>
      </w:r>
      <w:proofErr w:type="spell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2015 )</w:t>
      </w:r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, и показывают, что изучение языка как процесс межкультурного обучения является постоянное построение отношений между собой и другими ( Харви, 2016 ). Действительно, исследование </w:t>
      </w:r>
      <w:proofErr w:type="gramStart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Ха</w:t>
      </w:r>
      <w:proofErr w:type="gramEnd"/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 xml:space="preserve"> и Ли (2014) показывает, что языковые барьеры могут быть мотивирующим фактором для иностранных студентов к участию в общении в классе.</w:t>
      </w:r>
    </w:p>
    <w:p w:rsidR="005629E2" w:rsidRDefault="005629E2" w:rsidP="005629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  <w:r w:rsidRPr="005629E2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  <w:t>Поскольку более полумиллиона иностранных студентов стремятся получить образование в Австралии и еще больше – в других странах, таких как США и Великобритания, удовлетворенность студентов своим зарубежным опытом, особенно взаимодействием с местной культурой и людьми, имеет решающее значение. принимающие университеты и правительства. В этом качественном интервью изучалось взаимодействие между китайскими иностранными студентами и их австралийскими преподавателями в принимающем университете в классе и вне класса. Из-за небольшой выборки, состоящей из 22 студентов только из одного австралийского университета и четырех китайских университетов, а также из-за единого источника данных, результаты этого качественного исследования не предназначены для обобщения на все совместные программы. Однако выводы, полученные в результате этого исследования, могут быть использованы и переданы в другие аналогичные программы между китайскими (или другими) и австралийскими (или другими принимающими) учреждениями.</w:t>
      </w:r>
    </w:p>
    <w:p w:rsidR="008534ED" w:rsidRDefault="008534ED" w:rsidP="00696F9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bdr w:val="none" w:sz="0" w:space="0" w:color="auto" w:frame="1"/>
          <w:lang w:eastAsia="ru-RU"/>
        </w:rPr>
      </w:pPr>
    </w:p>
    <w:p w:rsidR="00C26998" w:rsidRDefault="00C26998" w:rsidP="00C2699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5C35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lastRenderedPageBreak/>
        <w:t xml:space="preserve">1. Орлов А.А. Оценивание новых результатов образовательного процесса в вузе в контексте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компетентностного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подхода. [Текст] / А.А. Орлов– «Москва-Берлин», 2015. – 150 с. 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2. Алексеева Л.В. Юридическая психология: учебное пособие. [Текст] / Л.В. Алексеева – М.: Проспект, 2020. - 312 с. 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3.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Суртаева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Н.Н. Педагогика: педагогические технологии 2-е изд.,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испр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. и доп. Учебное пособие для СПО. [Текст] / Н.Н.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Суртаева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– Москва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Юрайт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>, 2019. - 251 с.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4.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Мордерер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О.А., Плеханова Т.В. Сборник практических работ. ПМ 01 «Организационно-управленческая деятельность». [Текст] / О. А.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Мордерер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, Т. В. Плеханова – «Москва-Берлин», 2021. – 65 с. 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5.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Подласый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И.П. Педагогика. Книга 2: Теория и технологии обучения: Учебник для вузов. [Текст] / И.П.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Подласый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- «ВЛАДОС», 2022. - 343 с. 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6.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Охременко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И.В. Психология и педагогика высшей школы 2-е изд.,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испр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. и доп. Учебное пособие для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бакалавриата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и магистратуры. [Текст] / И.В.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Охременко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– Москва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Юрайт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, 2017. - 179 с. 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7. Дозорцева Е.Г. Зарубежная и российская юридическая психология: встреча в Петербурге. [Электронный ресурс] // Психология и право. 2023(5). № 4. С. 94-97. 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8.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Беловолова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Е.А. Методика реализации практической направленности обучения географии в современной школе. [Текст] / Е.А.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Беловолова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 - Москва, 2013. -  С. 132. 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9. Платон. Законы. – М.: </w:t>
      </w:r>
      <w:proofErr w:type="spellStart"/>
      <w:r w:rsidRPr="00E513F9">
        <w:rPr>
          <w:rFonts w:ascii="Times New Roman" w:hAnsi="Times New Roman" w:cs="Times New Roman"/>
          <w:color w:val="111111"/>
          <w:sz w:val="28"/>
          <w:szCs w:val="28"/>
        </w:rPr>
        <w:t>Ruscience</w:t>
      </w:r>
      <w:proofErr w:type="spellEnd"/>
      <w:r w:rsidRPr="00E513F9">
        <w:rPr>
          <w:rFonts w:ascii="Times New Roman" w:hAnsi="Times New Roman" w:cs="Times New Roman"/>
          <w:color w:val="111111"/>
          <w:sz w:val="28"/>
          <w:szCs w:val="28"/>
        </w:rPr>
        <w:t xml:space="preserve">, 2016. - 322 с. - (Серия «Классическое наследие») 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13F9">
        <w:rPr>
          <w:rFonts w:ascii="Times New Roman" w:hAnsi="Times New Roman" w:cs="Times New Roman"/>
          <w:color w:val="111111"/>
          <w:sz w:val="28"/>
          <w:szCs w:val="28"/>
        </w:rPr>
        <w:t>10. Поздняков В.М. Отечественная пенитенциарная психология: история и современность. Монография. [Текст] / В.М. Поздняков– М.: Академия управления МВД России, 2020. - 269 с.</w:t>
      </w:r>
    </w:p>
    <w:p w:rsidR="00C26998" w:rsidRPr="00E513F9" w:rsidRDefault="00C26998" w:rsidP="00C2699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26998" w:rsidRPr="00E513F9" w:rsidRDefault="00C26998" w:rsidP="00C269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26998" w:rsidRPr="00E513F9" w:rsidRDefault="00C26998" w:rsidP="00C26998"/>
    <w:p w:rsidR="00AA54DE" w:rsidRPr="00C26998" w:rsidRDefault="00AA54DE" w:rsidP="00C26998"/>
    <w:sectPr w:rsidR="00AA54DE" w:rsidRPr="00C26998" w:rsidSect="00B504F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BBD" w:rsidRDefault="00A37BBD">
      <w:pPr>
        <w:spacing w:after="0" w:line="240" w:lineRule="auto"/>
      </w:pPr>
      <w:r>
        <w:separator/>
      </w:r>
    </w:p>
  </w:endnote>
  <w:endnote w:type="continuationSeparator" w:id="0">
    <w:p w:rsidR="00A37BBD" w:rsidRDefault="00A37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9182459"/>
      <w:docPartObj>
        <w:docPartGallery w:val="Page Numbers (Bottom of Page)"/>
        <w:docPartUnique/>
      </w:docPartObj>
    </w:sdtPr>
    <w:sdtEndPr/>
    <w:sdtContent>
      <w:p w:rsidR="000A5206" w:rsidRDefault="00EA74A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E65">
          <w:rPr>
            <w:noProof/>
          </w:rPr>
          <w:t>2</w:t>
        </w:r>
        <w:r>
          <w:fldChar w:fldCharType="end"/>
        </w:r>
      </w:p>
    </w:sdtContent>
  </w:sdt>
  <w:p w:rsidR="00084D9B" w:rsidRDefault="00A37B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BBD" w:rsidRDefault="00A37BBD">
      <w:pPr>
        <w:spacing w:after="0" w:line="240" w:lineRule="auto"/>
      </w:pPr>
      <w:r>
        <w:separator/>
      </w:r>
    </w:p>
  </w:footnote>
  <w:footnote w:type="continuationSeparator" w:id="0">
    <w:p w:rsidR="00A37BBD" w:rsidRDefault="00A37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655D8"/>
    <w:multiLevelType w:val="hybridMultilevel"/>
    <w:tmpl w:val="F52A04CC"/>
    <w:lvl w:ilvl="0" w:tplc="82AECB1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86"/>
    <w:rsid w:val="00044D0A"/>
    <w:rsid w:val="00107DFD"/>
    <w:rsid w:val="001B3A2C"/>
    <w:rsid w:val="004E3751"/>
    <w:rsid w:val="005629E2"/>
    <w:rsid w:val="005C4698"/>
    <w:rsid w:val="00645E65"/>
    <w:rsid w:val="00660463"/>
    <w:rsid w:val="00687587"/>
    <w:rsid w:val="00696F9D"/>
    <w:rsid w:val="006E3596"/>
    <w:rsid w:val="00750944"/>
    <w:rsid w:val="007847A7"/>
    <w:rsid w:val="007B223B"/>
    <w:rsid w:val="008534ED"/>
    <w:rsid w:val="00934E91"/>
    <w:rsid w:val="009F3173"/>
    <w:rsid w:val="00A0235A"/>
    <w:rsid w:val="00A37BBD"/>
    <w:rsid w:val="00A95886"/>
    <w:rsid w:val="00AA54DE"/>
    <w:rsid w:val="00B47E48"/>
    <w:rsid w:val="00B51E08"/>
    <w:rsid w:val="00B825E4"/>
    <w:rsid w:val="00C0628B"/>
    <w:rsid w:val="00C26998"/>
    <w:rsid w:val="00C4790F"/>
    <w:rsid w:val="00C50EAA"/>
    <w:rsid w:val="00DF1223"/>
    <w:rsid w:val="00E513F9"/>
    <w:rsid w:val="00EA74A5"/>
    <w:rsid w:val="00F506A1"/>
    <w:rsid w:val="00FC179A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48EC4-40AB-464C-9920-F97AE024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7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EA74A5"/>
  </w:style>
  <w:style w:type="character" w:customStyle="1" w:styleId="reference-text">
    <w:name w:val="reference-text"/>
    <w:basedOn w:val="a0"/>
    <w:rsid w:val="00EA74A5"/>
  </w:style>
  <w:style w:type="paragraph" w:styleId="a4">
    <w:name w:val="footer"/>
    <w:basedOn w:val="a"/>
    <w:link w:val="a5"/>
    <w:uiPriority w:val="99"/>
    <w:unhideWhenUsed/>
    <w:rsid w:val="00EA7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A74A5"/>
  </w:style>
  <w:style w:type="paragraph" w:styleId="a6">
    <w:name w:val="List Paragraph"/>
    <w:basedOn w:val="a"/>
    <w:uiPriority w:val="34"/>
    <w:qFormat/>
    <w:rsid w:val="00EA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79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2024-01-10T15:43:00Z</dcterms:created>
  <dcterms:modified xsi:type="dcterms:W3CDTF">2024-01-12T20:24:00Z</dcterms:modified>
</cp:coreProperties>
</file>