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2831" w14:textId="77777777" w:rsidR="008551E9" w:rsidRDefault="008551E9" w:rsidP="008551E9">
      <w:pPr>
        <w:widowControl w:val="0"/>
        <w:autoSpaceDE w:val="0"/>
        <w:autoSpaceDN w:val="0"/>
        <w:adjustRightInd w:val="0"/>
        <w:spacing w:after="0"/>
        <w:rPr>
          <w:rFonts w:ascii="Times New Roman" w:hAnsi="Times New Roman"/>
        </w:rPr>
      </w:pPr>
      <w:r>
        <w:rPr>
          <w:rFonts w:ascii="Times New Roman" w:hAnsi="Times New Roman"/>
        </w:rPr>
        <w:t xml:space="preserve">The following data was obtained in a </w:t>
      </w:r>
      <w:proofErr w:type="gramStart"/>
      <w:r>
        <w:rPr>
          <w:rFonts w:ascii="Times New Roman" w:hAnsi="Times New Roman"/>
        </w:rPr>
        <w:t>qPCR experiments</w:t>
      </w:r>
      <w:proofErr w:type="gramEnd"/>
      <w:r>
        <w:rPr>
          <w:rFonts w:ascii="Times New Roman" w:hAnsi="Times New Roman"/>
        </w:rPr>
        <w:t xml:space="preserve"> designed to determine the relative expression of two genes in leaf or flower tissue of lavender plants. Using the Livak method, calculate the expression fold differences for Gene1 and Gene2 in flower relative to leaf tissue. Notes: 1) Use the average </w:t>
      </w:r>
      <w:r w:rsidRPr="006E3189">
        <w:rPr>
          <w:rFonts w:ascii="Microsoft Sans Serif" w:hAnsi="Microsoft Sans Serif"/>
          <w:sz w:val="17"/>
          <w:szCs w:val="17"/>
        </w:rPr>
        <w:t>C</w:t>
      </w:r>
      <w:r w:rsidRPr="006E3189">
        <w:rPr>
          <w:rFonts w:ascii="Microsoft Sans Serif" w:hAnsi="Microsoft Sans Serif"/>
          <w:sz w:val="17"/>
          <w:szCs w:val="17"/>
          <w:vertAlign w:val="subscript"/>
        </w:rPr>
        <w:t>T</w:t>
      </w:r>
      <w:r>
        <w:rPr>
          <w:rFonts w:ascii="Microsoft Sans Serif" w:hAnsi="Microsoft Sans Serif"/>
          <w:sz w:val="17"/>
          <w:szCs w:val="17"/>
          <w:vertAlign w:val="subscript"/>
        </w:rPr>
        <w:t xml:space="preserve"> </w:t>
      </w:r>
      <w:r>
        <w:rPr>
          <w:rFonts w:ascii="Times New Roman" w:hAnsi="Times New Roman"/>
        </w:rPr>
        <w:t>value for each gene in each tissue. 2) Acti</w:t>
      </w:r>
      <w:r w:rsidR="00A56630">
        <w:rPr>
          <w:rFonts w:ascii="Times New Roman" w:hAnsi="Times New Roman"/>
        </w:rPr>
        <w:t>n was used as a reference gene.</w:t>
      </w:r>
    </w:p>
    <w:p w14:paraId="461AC94D" w14:textId="77777777" w:rsidR="008551E9" w:rsidRDefault="008551E9" w:rsidP="008551E9">
      <w:pPr>
        <w:widowControl w:val="0"/>
        <w:autoSpaceDE w:val="0"/>
        <w:autoSpaceDN w:val="0"/>
        <w:adjustRightInd w:val="0"/>
        <w:spacing w:after="0" w:line="360" w:lineRule="auto"/>
        <w:rPr>
          <w:rFonts w:ascii="Times New Roman" w:hAnsi="Times New Roman"/>
        </w:rPr>
      </w:pPr>
    </w:p>
    <w:tbl>
      <w:tblPr>
        <w:tblW w:w="5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
        <w:gridCol w:w="1061"/>
        <w:gridCol w:w="982"/>
        <w:gridCol w:w="1125"/>
        <w:gridCol w:w="1125"/>
      </w:tblGrid>
      <w:tr w:rsidR="00720817" w:rsidRPr="00005C07" w14:paraId="5969499E" w14:textId="77777777" w:rsidTr="00720817">
        <w:trPr>
          <w:trHeight w:val="300"/>
          <w:jc w:val="center"/>
        </w:trPr>
        <w:tc>
          <w:tcPr>
            <w:tcW w:w="832" w:type="dxa"/>
            <w:shd w:val="clear" w:color="000000" w:fill="C0C0C0"/>
            <w:vAlign w:val="center"/>
          </w:tcPr>
          <w:p w14:paraId="0CA95F39"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Primer</w:t>
            </w:r>
          </w:p>
        </w:tc>
        <w:tc>
          <w:tcPr>
            <w:tcW w:w="1061" w:type="dxa"/>
            <w:shd w:val="clear" w:color="000000" w:fill="C0C0C0"/>
            <w:vAlign w:val="center"/>
          </w:tcPr>
          <w:p w14:paraId="58B6D5C9"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Replication</w:t>
            </w:r>
          </w:p>
        </w:tc>
        <w:tc>
          <w:tcPr>
            <w:tcW w:w="982" w:type="dxa"/>
            <w:shd w:val="clear" w:color="000000" w:fill="C0C0C0"/>
            <w:vAlign w:val="center"/>
          </w:tcPr>
          <w:p w14:paraId="7934762E"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Tissue</w:t>
            </w:r>
          </w:p>
        </w:tc>
        <w:tc>
          <w:tcPr>
            <w:tcW w:w="1125" w:type="dxa"/>
            <w:shd w:val="clear" w:color="000000" w:fill="C0C0C0"/>
            <w:vAlign w:val="center"/>
          </w:tcPr>
          <w:p w14:paraId="6CA6ADB5"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C</w:t>
            </w:r>
            <w:r w:rsidRPr="009E65D8">
              <w:rPr>
                <w:rFonts w:ascii="Microsoft Sans Serif" w:eastAsia="Calibri" w:hAnsi="Microsoft Sans Serif"/>
                <w:sz w:val="17"/>
                <w:szCs w:val="17"/>
                <w:vertAlign w:val="subscript"/>
              </w:rPr>
              <w:t>T</w:t>
            </w:r>
          </w:p>
        </w:tc>
        <w:tc>
          <w:tcPr>
            <w:tcW w:w="1125" w:type="dxa"/>
            <w:shd w:val="clear" w:color="000000" w:fill="C0C0C0"/>
          </w:tcPr>
          <w:p w14:paraId="5162E147" w14:textId="77777777" w:rsidR="00720817" w:rsidRPr="00005C07" w:rsidRDefault="00720817" w:rsidP="004831DC">
            <w:pPr>
              <w:jc w:val="center"/>
              <w:rPr>
                <w:rFonts w:ascii="Microsoft Sans Serif" w:eastAsia="Calibri" w:hAnsi="Microsoft Sans Serif"/>
                <w:sz w:val="17"/>
                <w:szCs w:val="17"/>
              </w:rPr>
            </w:pPr>
            <w:r>
              <w:rPr>
                <w:rFonts w:ascii="Microsoft Sans Serif" w:eastAsia="Calibri" w:hAnsi="Microsoft Sans Serif"/>
                <w:sz w:val="17"/>
                <w:szCs w:val="17"/>
              </w:rPr>
              <w:t>Average C</w:t>
            </w:r>
            <w:r w:rsidRPr="009E65D8">
              <w:rPr>
                <w:rFonts w:ascii="Microsoft Sans Serif" w:eastAsia="Calibri" w:hAnsi="Microsoft Sans Serif"/>
                <w:sz w:val="17"/>
                <w:szCs w:val="17"/>
                <w:vertAlign w:val="subscript"/>
              </w:rPr>
              <w:t>T</w:t>
            </w:r>
          </w:p>
        </w:tc>
      </w:tr>
      <w:tr w:rsidR="00720817" w:rsidRPr="00005C07" w14:paraId="1D1D811C" w14:textId="77777777" w:rsidTr="00720817">
        <w:trPr>
          <w:trHeight w:val="239"/>
          <w:jc w:val="center"/>
        </w:trPr>
        <w:tc>
          <w:tcPr>
            <w:tcW w:w="832" w:type="dxa"/>
            <w:shd w:val="clear" w:color="auto" w:fill="auto"/>
            <w:noWrap/>
            <w:vAlign w:val="center"/>
          </w:tcPr>
          <w:p w14:paraId="373A10A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99DEA34"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4A2E995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78BC9CC0"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24.00</w:t>
            </w:r>
          </w:p>
        </w:tc>
        <w:tc>
          <w:tcPr>
            <w:tcW w:w="1125" w:type="dxa"/>
            <w:vMerge w:val="restart"/>
          </w:tcPr>
          <w:p w14:paraId="76D67A44"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23.91</w:t>
            </w:r>
          </w:p>
        </w:tc>
      </w:tr>
      <w:tr w:rsidR="00720817" w:rsidRPr="00005C07" w14:paraId="1F0D901B" w14:textId="77777777" w:rsidTr="00720817">
        <w:trPr>
          <w:trHeight w:val="300"/>
          <w:jc w:val="center"/>
        </w:trPr>
        <w:tc>
          <w:tcPr>
            <w:tcW w:w="832" w:type="dxa"/>
            <w:shd w:val="clear" w:color="auto" w:fill="auto"/>
            <w:noWrap/>
            <w:vAlign w:val="center"/>
          </w:tcPr>
          <w:p w14:paraId="0FEED32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58268F8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5A5CEF2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3A4FA574"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23.90</w:t>
            </w:r>
          </w:p>
        </w:tc>
        <w:tc>
          <w:tcPr>
            <w:tcW w:w="1125" w:type="dxa"/>
            <w:vMerge/>
          </w:tcPr>
          <w:p w14:paraId="1C8B1767"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6319C924" w14:textId="77777777" w:rsidTr="00720817">
        <w:trPr>
          <w:trHeight w:val="300"/>
          <w:jc w:val="center"/>
        </w:trPr>
        <w:tc>
          <w:tcPr>
            <w:tcW w:w="832" w:type="dxa"/>
            <w:shd w:val="clear" w:color="auto" w:fill="auto"/>
            <w:noWrap/>
            <w:vAlign w:val="center"/>
          </w:tcPr>
          <w:p w14:paraId="665E0C6F"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10FFA1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1CFABA5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59CBA852"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23.84</w:t>
            </w:r>
          </w:p>
        </w:tc>
        <w:tc>
          <w:tcPr>
            <w:tcW w:w="1125" w:type="dxa"/>
            <w:vMerge/>
          </w:tcPr>
          <w:p w14:paraId="75053045"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47FE5C24" w14:textId="77777777" w:rsidTr="00720817">
        <w:trPr>
          <w:trHeight w:val="300"/>
          <w:jc w:val="center"/>
        </w:trPr>
        <w:tc>
          <w:tcPr>
            <w:tcW w:w="832" w:type="dxa"/>
            <w:shd w:val="clear" w:color="auto" w:fill="auto"/>
            <w:noWrap/>
            <w:vAlign w:val="center"/>
          </w:tcPr>
          <w:p w14:paraId="6F465081"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778B4A5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35AEDD2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1067891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35.39</w:t>
            </w:r>
          </w:p>
        </w:tc>
        <w:tc>
          <w:tcPr>
            <w:tcW w:w="1125" w:type="dxa"/>
            <w:vMerge w:val="restart"/>
          </w:tcPr>
          <w:p w14:paraId="6F025832"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35.01</w:t>
            </w:r>
          </w:p>
        </w:tc>
      </w:tr>
      <w:tr w:rsidR="00720817" w:rsidRPr="00005C07" w14:paraId="5CBC4403" w14:textId="77777777" w:rsidTr="00720817">
        <w:trPr>
          <w:trHeight w:val="300"/>
          <w:jc w:val="center"/>
        </w:trPr>
        <w:tc>
          <w:tcPr>
            <w:tcW w:w="832" w:type="dxa"/>
            <w:shd w:val="clear" w:color="auto" w:fill="auto"/>
            <w:noWrap/>
            <w:vAlign w:val="center"/>
          </w:tcPr>
          <w:p w14:paraId="0421B32A"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1BE2FCD2"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6E09BE5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6D8A080"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35.01</w:t>
            </w:r>
          </w:p>
        </w:tc>
        <w:tc>
          <w:tcPr>
            <w:tcW w:w="1125" w:type="dxa"/>
            <w:vMerge/>
          </w:tcPr>
          <w:p w14:paraId="3F91F04B"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62597CF3" w14:textId="77777777" w:rsidTr="00720817">
        <w:trPr>
          <w:trHeight w:val="300"/>
          <w:jc w:val="center"/>
        </w:trPr>
        <w:tc>
          <w:tcPr>
            <w:tcW w:w="832" w:type="dxa"/>
            <w:shd w:val="clear" w:color="auto" w:fill="auto"/>
            <w:noWrap/>
            <w:vAlign w:val="center"/>
          </w:tcPr>
          <w:p w14:paraId="3D8A0DF8"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7446A5A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554CF6B7"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4A1B39C"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34.62</w:t>
            </w:r>
          </w:p>
        </w:tc>
        <w:tc>
          <w:tcPr>
            <w:tcW w:w="1125" w:type="dxa"/>
            <w:vMerge/>
          </w:tcPr>
          <w:p w14:paraId="4A741514"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32E16AC1" w14:textId="77777777" w:rsidTr="00720817">
        <w:trPr>
          <w:trHeight w:val="300"/>
          <w:jc w:val="center"/>
        </w:trPr>
        <w:tc>
          <w:tcPr>
            <w:tcW w:w="832" w:type="dxa"/>
            <w:shd w:val="clear" w:color="auto" w:fill="auto"/>
            <w:noWrap/>
            <w:vAlign w:val="center"/>
          </w:tcPr>
          <w:p w14:paraId="1E1B6A92"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1CD412EC"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0EE69DD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4041D3C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29.69</w:t>
            </w:r>
          </w:p>
        </w:tc>
        <w:tc>
          <w:tcPr>
            <w:tcW w:w="1125" w:type="dxa"/>
            <w:vMerge w:val="restart"/>
          </w:tcPr>
          <w:p w14:paraId="3865C272"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29.65</w:t>
            </w:r>
          </w:p>
        </w:tc>
      </w:tr>
      <w:tr w:rsidR="00720817" w:rsidRPr="00005C07" w14:paraId="61C2028D" w14:textId="77777777" w:rsidTr="00720817">
        <w:trPr>
          <w:trHeight w:val="300"/>
          <w:jc w:val="center"/>
        </w:trPr>
        <w:tc>
          <w:tcPr>
            <w:tcW w:w="832" w:type="dxa"/>
            <w:shd w:val="clear" w:color="auto" w:fill="auto"/>
            <w:noWrap/>
            <w:vAlign w:val="center"/>
          </w:tcPr>
          <w:p w14:paraId="0CC931B4"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1D8473B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7D5855EC"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40E53725"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29.44</w:t>
            </w:r>
          </w:p>
        </w:tc>
        <w:tc>
          <w:tcPr>
            <w:tcW w:w="1125" w:type="dxa"/>
            <w:vMerge/>
          </w:tcPr>
          <w:p w14:paraId="34815C63"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705A9533" w14:textId="77777777" w:rsidTr="00720817">
        <w:trPr>
          <w:trHeight w:val="300"/>
          <w:jc w:val="center"/>
        </w:trPr>
        <w:tc>
          <w:tcPr>
            <w:tcW w:w="832" w:type="dxa"/>
            <w:shd w:val="clear" w:color="auto" w:fill="auto"/>
            <w:noWrap/>
            <w:vAlign w:val="center"/>
          </w:tcPr>
          <w:p w14:paraId="6AE8CB17"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7FC41275"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2005224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001609B"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29.83</w:t>
            </w:r>
          </w:p>
        </w:tc>
        <w:tc>
          <w:tcPr>
            <w:tcW w:w="1125" w:type="dxa"/>
            <w:vMerge/>
          </w:tcPr>
          <w:p w14:paraId="4FE3C71D"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9B528CD" w14:textId="77777777" w:rsidTr="00720817">
        <w:trPr>
          <w:trHeight w:val="300"/>
          <w:jc w:val="center"/>
        </w:trPr>
        <w:tc>
          <w:tcPr>
            <w:tcW w:w="832" w:type="dxa"/>
            <w:shd w:val="clear" w:color="auto" w:fill="auto"/>
            <w:noWrap/>
            <w:vAlign w:val="center"/>
          </w:tcPr>
          <w:p w14:paraId="5E1AC24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39C2EA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59B5B49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2ADE30D1"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21.28</w:t>
            </w:r>
          </w:p>
        </w:tc>
        <w:tc>
          <w:tcPr>
            <w:tcW w:w="1125" w:type="dxa"/>
            <w:vMerge w:val="restart"/>
          </w:tcPr>
          <w:p w14:paraId="29039699"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21.28</w:t>
            </w:r>
          </w:p>
        </w:tc>
      </w:tr>
      <w:tr w:rsidR="00720817" w:rsidRPr="00005C07" w14:paraId="5F13E04A" w14:textId="77777777" w:rsidTr="00720817">
        <w:trPr>
          <w:trHeight w:val="300"/>
          <w:jc w:val="center"/>
        </w:trPr>
        <w:tc>
          <w:tcPr>
            <w:tcW w:w="832" w:type="dxa"/>
            <w:shd w:val="clear" w:color="auto" w:fill="auto"/>
            <w:noWrap/>
            <w:vAlign w:val="center"/>
          </w:tcPr>
          <w:p w14:paraId="05EB035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23EAC87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01184942"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1BBF10EA"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21.39</w:t>
            </w:r>
          </w:p>
        </w:tc>
        <w:tc>
          <w:tcPr>
            <w:tcW w:w="1125" w:type="dxa"/>
            <w:vMerge/>
          </w:tcPr>
          <w:p w14:paraId="0BF8B3BC"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2196826E" w14:textId="77777777" w:rsidTr="00720817">
        <w:trPr>
          <w:trHeight w:val="300"/>
          <w:jc w:val="center"/>
        </w:trPr>
        <w:tc>
          <w:tcPr>
            <w:tcW w:w="832" w:type="dxa"/>
            <w:shd w:val="clear" w:color="auto" w:fill="auto"/>
            <w:noWrap/>
            <w:vAlign w:val="center"/>
          </w:tcPr>
          <w:p w14:paraId="189066C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76C424C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5DC2E3F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18B1660F"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21.16</w:t>
            </w:r>
          </w:p>
        </w:tc>
        <w:tc>
          <w:tcPr>
            <w:tcW w:w="1125" w:type="dxa"/>
            <w:vMerge/>
          </w:tcPr>
          <w:p w14:paraId="68A51EAB"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2D918E78" w14:textId="77777777" w:rsidTr="00720817">
        <w:trPr>
          <w:trHeight w:val="300"/>
          <w:jc w:val="center"/>
        </w:trPr>
        <w:tc>
          <w:tcPr>
            <w:tcW w:w="832" w:type="dxa"/>
            <w:shd w:val="clear" w:color="auto" w:fill="auto"/>
            <w:noWrap/>
            <w:vAlign w:val="center"/>
          </w:tcPr>
          <w:p w14:paraId="2616768D"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46CEC8B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05F768A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7F779E45"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25.26</w:t>
            </w:r>
          </w:p>
        </w:tc>
        <w:tc>
          <w:tcPr>
            <w:tcW w:w="1125" w:type="dxa"/>
            <w:vMerge w:val="restart"/>
          </w:tcPr>
          <w:p w14:paraId="2AFFACB6"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25.15</w:t>
            </w:r>
          </w:p>
        </w:tc>
      </w:tr>
      <w:tr w:rsidR="00720817" w:rsidRPr="00005C07" w14:paraId="2574375F" w14:textId="77777777" w:rsidTr="00720817">
        <w:trPr>
          <w:trHeight w:val="300"/>
          <w:jc w:val="center"/>
        </w:trPr>
        <w:tc>
          <w:tcPr>
            <w:tcW w:w="832" w:type="dxa"/>
            <w:shd w:val="clear" w:color="auto" w:fill="auto"/>
            <w:noWrap/>
            <w:vAlign w:val="center"/>
          </w:tcPr>
          <w:p w14:paraId="44136EF4"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38946CE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31234AE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31FCC64D"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25.11</w:t>
            </w:r>
          </w:p>
        </w:tc>
        <w:tc>
          <w:tcPr>
            <w:tcW w:w="1125" w:type="dxa"/>
            <w:vMerge/>
          </w:tcPr>
          <w:p w14:paraId="495037A9"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DB3A596" w14:textId="77777777" w:rsidTr="00720817">
        <w:trPr>
          <w:trHeight w:val="300"/>
          <w:jc w:val="center"/>
        </w:trPr>
        <w:tc>
          <w:tcPr>
            <w:tcW w:w="832" w:type="dxa"/>
            <w:shd w:val="clear" w:color="auto" w:fill="auto"/>
            <w:noWrap/>
            <w:vAlign w:val="center"/>
          </w:tcPr>
          <w:p w14:paraId="767CFD58"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340FFDE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648C2DC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70C61C16"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25.07</w:t>
            </w:r>
          </w:p>
        </w:tc>
        <w:tc>
          <w:tcPr>
            <w:tcW w:w="1125" w:type="dxa"/>
            <w:vMerge/>
          </w:tcPr>
          <w:p w14:paraId="7B30798A"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F9C62EE" w14:textId="77777777" w:rsidTr="00720817">
        <w:trPr>
          <w:trHeight w:val="300"/>
          <w:jc w:val="center"/>
        </w:trPr>
        <w:tc>
          <w:tcPr>
            <w:tcW w:w="832" w:type="dxa"/>
            <w:shd w:val="clear" w:color="auto" w:fill="auto"/>
            <w:noWrap/>
            <w:vAlign w:val="center"/>
          </w:tcPr>
          <w:p w14:paraId="3FE4281C"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2EE391FD"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6B646C4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0699CF2F"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31.99</w:t>
            </w:r>
          </w:p>
        </w:tc>
        <w:tc>
          <w:tcPr>
            <w:tcW w:w="1125" w:type="dxa"/>
            <w:vMerge w:val="restart"/>
          </w:tcPr>
          <w:p w14:paraId="55AE0255"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31.90</w:t>
            </w:r>
          </w:p>
        </w:tc>
      </w:tr>
      <w:tr w:rsidR="00720817" w:rsidRPr="00005C07" w14:paraId="063D39A4" w14:textId="77777777" w:rsidTr="00720817">
        <w:trPr>
          <w:trHeight w:val="300"/>
          <w:jc w:val="center"/>
        </w:trPr>
        <w:tc>
          <w:tcPr>
            <w:tcW w:w="832" w:type="dxa"/>
            <w:shd w:val="clear" w:color="auto" w:fill="auto"/>
            <w:noWrap/>
            <w:vAlign w:val="center"/>
          </w:tcPr>
          <w:p w14:paraId="7D8BF516"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7D4648C5"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0C62B07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4118ABA8"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31.84</w:t>
            </w:r>
          </w:p>
        </w:tc>
        <w:tc>
          <w:tcPr>
            <w:tcW w:w="1125" w:type="dxa"/>
            <w:vMerge/>
          </w:tcPr>
          <w:p w14:paraId="6A7E317B" w14:textId="77777777" w:rsidR="00720817" w:rsidRPr="00005C07" w:rsidRDefault="00720817" w:rsidP="004831DC">
            <w:pPr>
              <w:jc w:val="right"/>
              <w:rPr>
                <w:rFonts w:ascii="Microsoft Sans Serif" w:eastAsia="Calibri" w:hAnsi="Microsoft Sans Serif"/>
                <w:sz w:val="17"/>
                <w:szCs w:val="17"/>
              </w:rPr>
            </w:pPr>
          </w:p>
        </w:tc>
      </w:tr>
      <w:tr w:rsidR="00720817" w:rsidRPr="00005C07" w14:paraId="20431CFC" w14:textId="77777777" w:rsidTr="00720817">
        <w:trPr>
          <w:trHeight w:val="300"/>
          <w:jc w:val="center"/>
        </w:trPr>
        <w:tc>
          <w:tcPr>
            <w:tcW w:w="832" w:type="dxa"/>
            <w:shd w:val="clear" w:color="auto" w:fill="auto"/>
            <w:noWrap/>
            <w:vAlign w:val="center"/>
          </w:tcPr>
          <w:p w14:paraId="75D90903"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223BC06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6950590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4A742AD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31.87</w:t>
            </w:r>
          </w:p>
        </w:tc>
        <w:tc>
          <w:tcPr>
            <w:tcW w:w="1125" w:type="dxa"/>
            <w:vMerge/>
          </w:tcPr>
          <w:p w14:paraId="659BACDA" w14:textId="77777777" w:rsidR="00720817" w:rsidRPr="00005C07" w:rsidRDefault="00720817" w:rsidP="004831DC">
            <w:pPr>
              <w:jc w:val="right"/>
              <w:rPr>
                <w:rFonts w:ascii="Microsoft Sans Serif" w:eastAsia="Calibri" w:hAnsi="Microsoft Sans Serif"/>
                <w:sz w:val="17"/>
                <w:szCs w:val="17"/>
              </w:rPr>
            </w:pPr>
          </w:p>
        </w:tc>
      </w:tr>
    </w:tbl>
    <w:p w14:paraId="49BBB7B4" w14:textId="77777777" w:rsidR="00196C11" w:rsidRDefault="00196C11" w:rsidP="00B306DC">
      <w:pPr>
        <w:spacing w:line="240" w:lineRule="auto"/>
        <w:ind w:left="360"/>
        <w:rPr>
          <w:rFonts w:ascii="Times" w:hAnsi="Times"/>
        </w:rPr>
      </w:pPr>
    </w:p>
    <w:p w14:paraId="41834B28" w14:textId="77777777" w:rsidR="008551E9" w:rsidRDefault="008551E9" w:rsidP="00196C11">
      <w:pPr>
        <w:spacing w:line="240" w:lineRule="auto"/>
        <w:ind w:left="360"/>
        <w:rPr>
          <w:rFonts w:ascii="Times New Roman" w:hAnsi="Times New Roman"/>
        </w:rPr>
      </w:pPr>
      <w:r>
        <w:rPr>
          <w:rFonts w:ascii="Times" w:hAnsi="Times"/>
        </w:rPr>
        <w:t>F</w:t>
      </w:r>
      <w:r w:rsidRPr="001A47E9">
        <w:rPr>
          <w:rFonts w:ascii="Times" w:hAnsi="Times"/>
        </w:rPr>
        <w:t>old Change = 2</w:t>
      </w:r>
      <w:r w:rsidRPr="001A47E9">
        <w:rPr>
          <w:rFonts w:ascii="Times" w:hAnsi="Times"/>
          <w:vertAlign w:val="superscript"/>
        </w:rPr>
        <w:t>-∆∆</w:t>
      </w:r>
      <w:proofErr w:type="gramStart"/>
      <w:r w:rsidRPr="001A47E9">
        <w:rPr>
          <w:rFonts w:ascii="Times" w:hAnsi="Times"/>
          <w:vertAlign w:val="superscript"/>
        </w:rPr>
        <w:t>C</w:t>
      </w:r>
      <w:r w:rsidRPr="00D64C84">
        <w:rPr>
          <w:rFonts w:ascii="Times" w:hAnsi="Times"/>
          <w:sz w:val="16"/>
          <w:vertAlign w:val="superscript"/>
        </w:rPr>
        <w:t>T</w:t>
      </w:r>
      <w:r w:rsidRPr="001A47E9">
        <w:rPr>
          <w:rFonts w:ascii="Times" w:hAnsi="Times"/>
          <w:vertAlign w:val="superscript"/>
        </w:rPr>
        <w:t xml:space="preserve">  </w:t>
      </w:r>
      <w:r w:rsidRPr="001A47E9">
        <w:rPr>
          <w:rFonts w:ascii="Times" w:hAnsi="Times"/>
        </w:rPr>
        <w:t>=</w:t>
      </w:r>
      <w:proofErr w:type="gramEnd"/>
      <w:r w:rsidRPr="001A47E9">
        <w:rPr>
          <w:rFonts w:ascii="Times" w:hAnsi="Times"/>
        </w:rPr>
        <w:t xml:space="preserve"> 2 </w:t>
      </w:r>
      <w:r w:rsidRPr="001A47E9">
        <w:rPr>
          <w:rFonts w:ascii="Times" w:hAnsi="Times"/>
          <w:vertAlign w:val="superscript"/>
        </w:rPr>
        <w:t>-((CT target – CT reference) in sample – (CT target – CT reference) in calibrator)</w:t>
      </w:r>
      <w:r w:rsidR="00196C11">
        <w:rPr>
          <w:rFonts w:ascii="Times" w:hAnsi="Times"/>
        </w:rPr>
        <w:t>, where S</w:t>
      </w:r>
      <w:r w:rsidR="0075612B">
        <w:rPr>
          <w:rFonts w:ascii="Times New Roman" w:hAnsi="Times New Roman"/>
        </w:rPr>
        <w:t>ample</w:t>
      </w:r>
      <w:r>
        <w:rPr>
          <w:rFonts w:ascii="Times New Roman" w:hAnsi="Times New Roman"/>
        </w:rPr>
        <w:t xml:space="preserve"> is flower tissue; Calibrator is leaf tissue; Target is Gene1 or Gene2; Reference gene is Actin.</w:t>
      </w:r>
    </w:p>
    <w:p w14:paraId="64E72468" w14:textId="77777777" w:rsidR="0075612B" w:rsidRDefault="0075612B">
      <w:pPr>
        <w:rPr>
          <w:rFonts w:ascii="Times New Roman" w:hAnsi="Times New Roman" w:cs="ArialMT"/>
        </w:rPr>
      </w:pPr>
      <w:r>
        <w:rPr>
          <w:rFonts w:ascii="Times New Roman" w:hAnsi="Times New Roman" w:cs="ArialMT"/>
        </w:rPr>
        <w:br w:type="page"/>
      </w:r>
    </w:p>
    <w:p w14:paraId="126C92AF" w14:textId="77777777" w:rsidR="008551E9"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lastRenderedPageBreak/>
        <w:t>Hints:</w:t>
      </w:r>
    </w:p>
    <w:p w14:paraId="6A440270" w14:textId="77777777" w:rsidR="008551E9"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t>1) Calculate the average C</w:t>
      </w:r>
      <w:r w:rsidRPr="00D135A5">
        <w:rPr>
          <w:rFonts w:ascii="Times New Roman" w:hAnsi="Times New Roman" w:cs="ArialMT"/>
          <w:vertAlign w:val="subscript"/>
        </w:rPr>
        <w:t>T</w:t>
      </w:r>
      <w:r>
        <w:rPr>
          <w:rFonts w:ascii="Times New Roman" w:hAnsi="Times New Roman" w:cs="ArialMT"/>
        </w:rPr>
        <w:t xml:space="preserve"> value for each gene in both flower and leaf tissue.</w:t>
      </w:r>
    </w:p>
    <w:p w14:paraId="4E1E6BBD"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szCs w:val="21"/>
        </w:rPr>
      </w:pPr>
      <w:r>
        <w:rPr>
          <w:rFonts w:ascii="Times New Roman" w:hAnsi="Times New Roman" w:cs="ArialMT"/>
        </w:rPr>
        <w:t>2</w:t>
      </w:r>
      <w:r w:rsidRPr="001A0670">
        <w:rPr>
          <w:rFonts w:ascii="Times New Roman" w:hAnsi="Times New Roman" w:cs="ArialMT"/>
        </w:rPr>
        <w:t xml:space="preserve">) </w:t>
      </w:r>
      <w:r w:rsidRPr="001A0670">
        <w:rPr>
          <w:rFonts w:ascii="Times New Roman" w:hAnsi="Times New Roman" w:cs="ArialMT"/>
          <w:b/>
        </w:rPr>
        <w:t>Normalize</w:t>
      </w:r>
      <w:r w:rsidRPr="001A0670">
        <w:rPr>
          <w:rFonts w:ascii="Times New Roman" w:hAnsi="Times New Roman" w:cs="ArialMT"/>
        </w:rPr>
        <w:t xml:space="preserve"> the C</w:t>
      </w:r>
      <w:r w:rsidRPr="001A0670">
        <w:rPr>
          <w:rFonts w:ascii="Times New Roman" w:hAnsi="Times New Roman" w:cs="ArialMT"/>
          <w:szCs w:val="16"/>
          <w:vertAlign w:val="subscript"/>
        </w:rPr>
        <w:t>T</w:t>
      </w:r>
      <w:r w:rsidRPr="001A0670">
        <w:rPr>
          <w:rFonts w:ascii="Times New Roman" w:hAnsi="Times New Roman" w:cs="ArialMT"/>
          <w:szCs w:val="16"/>
        </w:rPr>
        <w:t xml:space="preserve"> </w:t>
      </w:r>
      <w:r w:rsidRPr="001A0670">
        <w:rPr>
          <w:rFonts w:ascii="Times New Roman" w:hAnsi="Times New Roman" w:cs="ArialMT"/>
        </w:rPr>
        <w:t xml:space="preserve">of </w:t>
      </w:r>
      <w:r>
        <w:rPr>
          <w:rFonts w:ascii="Times New Roman" w:hAnsi="Times New Roman" w:cs="ArialMT"/>
        </w:rPr>
        <w:t>target</w:t>
      </w:r>
      <w:r w:rsidRPr="001A0670">
        <w:rPr>
          <w:rFonts w:ascii="Times New Roman" w:hAnsi="Times New Roman" w:cs="ArialMT"/>
        </w:rPr>
        <w:t xml:space="preserve"> to that of ref</w:t>
      </w:r>
      <w:r>
        <w:rPr>
          <w:rFonts w:ascii="Times New Roman" w:hAnsi="Times New Roman" w:cs="ArialMT"/>
        </w:rPr>
        <w:t>erence (</w:t>
      </w: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rPr>
        <w:t>) in both sample (flower) and calibrator (leaf) tissue</w:t>
      </w:r>
      <w:r w:rsidRPr="001A0670">
        <w:rPr>
          <w:rFonts w:ascii="Times New Roman" w:hAnsi="Times New Roman" w:cs="ArialMT"/>
          <w:szCs w:val="21"/>
        </w:rPr>
        <w:t>:</w:t>
      </w:r>
    </w:p>
    <w:p w14:paraId="0017FE77"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sample</w:t>
      </w:r>
      <w:r w:rsidRPr="001A0670">
        <w:rPr>
          <w:rFonts w:ascii="Times New Roman" w:hAnsi="Times New Roman" w:cs="ArialMT"/>
          <w:szCs w:val="14"/>
        </w:rPr>
        <w:t xml:space="preserve">)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target</w:t>
      </w:r>
      <w:r w:rsidRPr="001A0670">
        <w:rPr>
          <w:rFonts w:ascii="Times New Roman" w:hAnsi="Times New Roman" w:cs="ArialMT"/>
          <w:szCs w:val="14"/>
        </w:rPr>
        <w:t xml:space="preserve">)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(ref</w:t>
      </w:r>
      <w:r>
        <w:rPr>
          <w:rFonts w:ascii="Times New Roman" w:hAnsi="Times New Roman" w:cs="ArialMT"/>
          <w:szCs w:val="14"/>
        </w:rPr>
        <w:t>erence</w:t>
      </w:r>
      <w:r w:rsidRPr="001A0670">
        <w:rPr>
          <w:rFonts w:ascii="Times New Roman" w:hAnsi="Times New Roman" w:cs="ArialMT"/>
          <w:szCs w:val="14"/>
        </w:rPr>
        <w:t>)</w:t>
      </w:r>
    </w:p>
    <w:p w14:paraId="3389D5AD"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 xml:space="preserve">(calibrator)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target in</w:t>
      </w:r>
      <w:r w:rsidRPr="001A0670">
        <w:rPr>
          <w:rFonts w:ascii="Times New Roman" w:hAnsi="Times New Roman" w:cs="ArialMT"/>
          <w:szCs w:val="14"/>
        </w:rPr>
        <w:t xml:space="preserve"> calibrator)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reference</w:t>
      </w:r>
      <w:r w:rsidRPr="001A0670">
        <w:rPr>
          <w:rFonts w:ascii="Times New Roman" w:hAnsi="Times New Roman" w:cs="ArialMT"/>
          <w:szCs w:val="14"/>
        </w:rPr>
        <w:t xml:space="preserve"> calibrator)</w:t>
      </w:r>
    </w:p>
    <w:p w14:paraId="49D71B66"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szCs w:val="21"/>
        </w:rPr>
      </w:pPr>
      <w:r>
        <w:rPr>
          <w:rFonts w:ascii="Times New Roman" w:hAnsi="Times New Roman" w:cs="ArialMT"/>
        </w:rPr>
        <w:t>3</w:t>
      </w:r>
      <w:r w:rsidRPr="001A0670">
        <w:rPr>
          <w:rFonts w:ascii="Times New Roman" w:hAnsi="Times New Roman" w:cs="ArialMT"/>
        </w:rPr>
        <w:t>) Calculate the difference between the Δ</w:t>
      </w:r>
      <w:r w:rsidRPr="001A0670">
        <w:rPr>
          <w:rFonts w:ascii="Times New Roman" w:hAnsi="Times New Roman" w:cs="ArialMT"/>
          <w:szCs w:val="21"/>
        </w:rPr>
        <w:t>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of the test sample and the Δ</w:t>
      </w:r>
      <w:r w:rsidRPr="001A0670">
        <w:rPr>
          <w:rFonts w:ascii="Times New Roman" w:hAnsi="Times New Roman" w:cs="ArialMT"/>
          <w:szCs w:val="21"/>
        </w:rPr>
        <w:t>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of the</w:t>
      </w:r>
      <w:r>
        <w:rPr>
          <w:rFonts w:ascii="Times New Roman" w:hAnsi="Times New Roman" w:cs="ArialMT"/>
        </w:rPr>
        <w:t xml:space="preserve"> </w:t>
      </w:r>
      <w:r w:rsidRPr="001A0670">
        <w:rPr>
          <w:rFonts w:ascii="Times New Roman" w:hAnsi="Times New Roman" w:cs="ArialMT"/>
        </w:rPr>
        <w:t xml:space="preserve">calibrator, </w:t>
      </w:r>
      <w:r>
        <w:rPr>
          <w:rFonts w:ascii="Times New Roman" w:hAnsi="Times New Roman" w:cs="ArialMT"/>
        </w:rPr>
        <w:t>al</w:t>
      </w:r>
      <w:r w:rsidRPr="001A0670">
        <w:rPr>
          <w:rFonts w:ascii="Times New Roman" w:hAnsi="Times New Roman" w:cs="ArialMT"/>
        </w:rPr>
        <w:t xml:space="preserve">so called </w:t>
      </w:r>
      <w:r w:rsidRPr="001A0670">
        <w:rPr>
          <w:rFonts w:ascii="Times New Roman" w:hAnsi="Times New Roman" w:cs="ArialMT"/>
          <w:b/>
        </w:rPr>
        <w:t>ΔΔC</w:t>
      </w:r>
      <w:r w:rsidRPr="001A0670">
        <w:rPr>
          <w:rFonts w:ascii="Times New Roman" w:hAnsi="Times New Roman" w:cs="ArialMT"/>
          <w:b/>
          <w:szCs w:val="14"/>
          <w:vertAlign w:val="subscript"/>
        </w:rPr>
        <w:t>T</w:t>
      </w:r>
      <w:r w:rsidRPr="001A0670">
        <w:rPr>
          <w:rFonts w:ascii="Times New Roman" w:hAnsi="Times New Roman" w:cs="ArialMT"/>
          <w:szCs w:val="21"/>
        </w:rPr>
        <w:t>:</w:t>
      </w:r>
    </w:p>
    <w:p w14:paraId="5C42FF74"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 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sample</w:t>
      </w:r>
      <w:r w:rsidRPr="001A0670">
        <w:rPr>
          <w:rFonts w:ascii="Times New Roman" w:hAnsi="Times New Roman" w:cs="ArialMT"/>
          <w:szCs w:val="14"/>
        </w:rPr>
        <w:t xml:space="preserve">) </w:t>
      </w:r>
      <w:r w:rsidRPr="001A0670">
        <w:rPr>
          <w:rFonts w:ascii="Times New Roman" w:hAnsi="Times New Roman" w:cs="ArialMT"/>
        </w:rPr>
        <w:t>– 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(calibrator)</w:t>
      </w:r>
    </w:p>
    <w:p w14:paraId="114EF875"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t>4</w:t>
      </w:r>
      <w:r w:rsidRPr="001A0670">
        <w:rPr>
          <w:rFonts w:ascii="Times New Roman" w:hAnsi="Times New Roman" w:cs="ArialMT"/>
        </w:rPr>
        <w:t xml:space="preserve">) Calculate the </w:t>
      </w:r>
      <w:r w:rsidRPr="001A0670">
        <w:rPr>
          <w:rFonts w:ascii="Times New Roman" w:hAnsi="Times New Roman" w:cs="ArialMT"/>
          <w:b/>
        </w:rPr>
        <w:t>expression ratio</w:t>
      </w:r>
      <w:r>
        <w:rPr>
          <w:rFonts w:ascii="Times New Roman" w:hAnsi="Times New Roman" w:cs="ArialMT"/>
          <w:b/>
        </w:rPr>
        <w:t xml:space="preserve"> (fold difference)</w:t>
      </w:r>
      <w:r w:rsidRPr="001A0670">
        <w:rPr>
          <w:rFonts w:ascii="Times New Roman" w:hAnsi="Times New Roman" w:cs="ArialMT"/>
        </w:rPr>
        <w:t>:</w:t>
      </w:r>
    </w:p>
    <w:p w14:paraId="1D9E68E3" w14:textId="77777777" w:rsidR="008551E9" w:rsidRPr="001A0670" w:rsidRDefault="008551E9" w:rsidP="00B306DC">
      <w:pPr>
        <w:widowControl w:val="0"/>
        <w:autoSpaceDE w:val="0"/>
        <w:autoSpaceDN w:val="0"/>
        <w:adjustRightInd w:val="0"/>
        <w:spacing w:after="0" w:line="240" w:lineRule="auto"/>
        <w:ind w:firstLine="720"/>
        <w:rPr>
          <w:rFonts w:ascii="Times New Roman" w:hAnsi="Times New Roman" w:cs="ArialMT"/>
          <w:szCs w:val="14"/>
        </w:rPr>
      </w:pPr>
      <w:r w:rsidRPr="001A0670">
        <w:rPr>
          <w:rFonts w:ascii="Times New Roman" w:hAnsi="Times New Roman" w:cs="ArialMT"/>
        </w:rPr>
        <w:t>Expression ratio (folds) = 2</w:t>
      </w:r>
      <w:r w:rsidRPr="001A0670">
        <w:rPr>
          <w:rFonts w:ascii="Times New Roman" w:hAnsi="Times New Roman" w:cs="ArialMT"/>
          <w:szCs w:val="14"/>
          <w:vertAlign w:val="superscript"/>
        </w:rPr>
        <w:t>–ΔΔCT</w:t>
      </w:r>
    </w:p>
    <w:p w14:paraId="612A91C6" w14:textId="77777777" w:rsidR="00CD7659" w:rsidRDefault="008551E9" w:rsidP="00B306DC">
      <w:pPr>
        <w:widowControl w:val="0"/>
        <w:pBdr>
          <w:bottom w:val="single" w:sz="6" w:space="1" w:color="auto"/>
        </w:pBdr>
        <w:autoSpaceDE w:val="0"/>
        <w:autoSpaceDN w:val="0"/>
        <w:adjustRightInd w:val="0"/>
        <w:spacing w:after="0" w:line="240" w:lineRule="auto"/>
        <w:rPr>
          <w:rFonts w:ascii="Times New Roman" w:hAnsi="Times New Roman"/>
        </w:rPr>
      </w:pPr>
      <w:r>
        <w:rPr>
          <w:rFonts w:ascii="Times New Roman" w:hAnsi="Times New Roman"/>
        </w:rPr>
        <w:t>5) Interpret the value you obtained.</w:t>
      </w:r>
    </w:p>
    <w:p w14:paraId="2D5B25EE" w14:textId="77777777" w:rsidR="00B77262" w:rsidRDefault="00B77262" w:rsidP="00B306DC">
      <w:pPr>
        <w:widowControl w:val="0"/>
        <w:pBdr>
          <w:bottom w:val="single" w:sz="6" w:space="1" w:color="auto"/>
        </w:pBdr>
        <w:autoSpaceDE w:val="0"/>
        <w:autoSpaceDN w:val="0"/>
        <w:adjustRightInd w:val="0"/>
        <w:spacing w:after="0" w:line="240" w:lineRule="auto"/>
        <w:rPr>
          <w:rFonts w:ascii="Times New Roman" w:hAnsi="Times New Roman"/>
        </w:rPr>
      </w:pPr>
    </w:p>
    <w:p w14:paraId="5F7934A0" w14:textId="77777777" w:rsidR="00B77262" w:rsidRDefault="00B77262" w:rsidP="00B306DC">
      <w:pPr>
        <w:widowControl w:val="0"/>
        <w:autoSpaceDE w:val="0"/>
        <w:autoSpaceDN w:val="0"/>
        <w:adjustRightInd w:val="0"/>
        <w:spacing w:after="0" w:line="240" w:lineRule="auto"/>
        <w:rPr>
          <w:rFonts w:ascii="Times New Roman" w:hAnsi="Times New Roman"/>
        </w:rPr>
      </w:pPr>
    </w:p>
    <w:p w14:paraId="60C06EDE" w14:textId="45DF326A" w:rsidR="00F07992" w:rsidRPr="00F07992" w:rsidRDefault="00F07992" w:rsidP="00B306DC">
      <w:pPr>
        <w:widowControl w:val="0"/>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Answer – Trevor Fox</w:t>
      </w:r>
    </w:p>
    <w:p w14:paraId="70F96A8A" w14:textId="77777777" w:rsidR="00F07992" w:rsidRDefault="00F07992" w:rsidP="00B306DC">
      <w:pPr>
        <w:widowControl w:val="0"/>
        <w:autoSpaceDE w:val="0"/>
        <w:autoSpaceDN w:val="0"/>
        <w:adjustRightInd w:val="0"/>
        <w:spacing w:after="0" w:line="240" w:lineRule="auto"/>
        <w:rPr>
          <w:rFonts w:ascii="Times New Roman" w:hAnsi="Times New Roman"/>
        </w:rPr>
      </w:pPr>
    </w:p>
    <w:p w14:paraId="49332F48" w14:textId="516A2AD1" w:rsidR="00575D35" w:rsidRDefault="00575D35" w:rsidP="00B306DC">
      <w:pPr>
        <w:widowControl w:val="0"/>
        <w:autoSpaceDE w:val="0"/>
        <w:autoSpaceDN w:val="0"/>
        <w:adjustRightInd w:val="0"/>
        <w:spacing w:after="0" w:line="240" w:lineRule="auto"/>
        <w:rPr>
          <w:rFonts w:ascii="Times New Roman" w:hAnsi="Times New Roman"/>
        </w:rPr>
      </w:pPr>
      <w:r>
        <w:rPr>
          <w:rFonts w:ascii="Times New Roman" w:hAnsi="Times New Roman"/>
        </w:rPr>
        <w:t>Sample: Flower</w:t>
      </w:r>
    </w:p>
    <w:p w14:paraId="200D9D57" w14:textId="038AE796" w:rsidR="00575D35" w:rsidRDefault="00575D35" w:rsidP="00B306DC">
      <w:pPr>
        <w:widowControl w:val="0"/>
        <w:autoSpaceDE w:val="0"/>
        <w:autoSpaceDN w:val="0"/>
        <w:adjustRightInd w:val="0"/>
        <w:spacing w:after="0" w:line="240" w:lineRule="auto"/>
        <w:rPr>
          <w:rFonts w:ascii="Times New Roman" w:hAnsi="Times New Roman"/>
        </w:rPr>
      </w:pPr>
      <w:r>
        <w:rPr>
          <w:rFonts w:ascii="Times New Roman" w:hAnsi="Times New Roman"/>
        </w:rPr>
        <w:t>Calibrator: Leaf</w:t>
      </w:r>
    </w:p>
    <w:p w14:paraId="631DA68A" w14:textId="77777777" w:rsidR="00F07992" w:rsidRDefault="00F07992" w:rsidP="00B306DC">
      <w:pPr>
        <w:widowControl w:val="0"/>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1558"/>
        <w:gridCol w:w="1558"/>
        <w:gridCol w:w="1558"/>
        <w:gridCol w:w="1558"/>
        <w:gridCol w:w="1559"/>
      </w:tblGrid>
      <w:tr w:rsidR="00625B79" w14:paraId="069022A9" w14:textId="77777777" w:rsidTr="00C465F7">
        <w:tc>
          <w:tcPr>
            <w:tcW w:w="1558" w:type="dxa"/>
            <w:vMerge w:val="restart"/>
          </w:tcPr>
          <w:p w14:paraId="706C19FE" w14:textId="77777777" w:rsidR="00625B79" w:rsidRDefault="00625B79" w:rsidP="00B306DC">
            <w:pPr>
              <w:widowControl w:val="0"/>
              <w:autoSpaceDE w:val="0"/>
              <w:autoSpaceDN w:val="0"/>
              <w:adjustRightInd w:val="0"/>
              <w:rPr>
                <w:rFonts w:ascii="Times New Roman" w:hAnsi="Times New Roman"/>
              </w:rPr>
            </w:pPr>
          </w:p>
        </w:tc>
        <w:tc>
          <w:tcPr>
            <w:tcW w:w="3116" w:type="dxa"/>
            <w:gridSpan w:val="2"/>
          </w:tcPr>
          <w:p w14:paraId="36610008" w14:textId="18D00695" w:rsidR="00625B79" w:rsidRDefault="00625B79" w:rsidP="00B306DC">
            <w:pPr>
              <w:widowControl w:val="0"/>
              <w:autoSpaceDE w:val="0"/>
              <w:autoSpaceDN w:val="0"/>
              <w:adjustRightInd w:val="0"/>
              <w:rPr>
                <w:rFonts w:ascii="Times New Roman" w:hAnsi="Times New Roman"/>
              </w:rPr>
            </w:pPr>
            <w:r>
              <w:rPr>
                <w:rFonts w:ascii="Times New Roman" w:hAnsi="Times New Roman"/>
              </w:rPr>
              <w:t>Sample (Flower)</w:t>
            </w:r>
          </w:p>
        </w:tc>
        <w:tc>
          <w:tcPr>
            <w:tcW w:w="3117" w:type="dxa"/>
            <w:gridSpan w:val="2"/>
          </w:tcPr>
          <w:p w14:paraId="154D7994" w14:textId="5D6C5FE6" w:rsidR="00625B79" w:rsidRDefault="00625B79" w:rsidP="00B306DC">
            <w:pPr>
              <w:widowControl w:val="0"/>
              <w:autoSpaceDE w:val="0"/>
              <w:autoSpaceDN w:val="0"/>
              <w:adjustRightInd w:val="0"/>
              <w:rPr>
                <w:rFonts w:ascii="Times New Roman" w:hAnsi="Times New Roman"/>
              </w:rPr>
            </w:pPr>
            <w:r>
              <w:rPr>
                <w:rFonts w:ascii="Times New Roman" w:hAnsi="Times New Roman"/>
              </w:rPr>
              <w:t>Calibrator (Leaf)</w:t>
            </w:r>
          </w:p>
        </w:tc>
      </w:tr>
      <w:tr w:rsidR="00625B79" w14:paraId="063E49BB" w14:textId="77777777" w:rsidTr="00B67244">
        <w:tc>
          <w:tcPr>
            <w:tcW w:w="1558" w:type="dxa"/>
            <w:vMerge/>
          </w:tcPr>
          <w:p w14:paraId="46DA1F1C" w14:textId="77777777" w:rsidR="00625B79" w:rsidRDefault="00625B79" w:rsidP="00B306DC">
            <w:pPr>
              <w:widowControl w:val="0"/>
              <w:autoSpaceDE w:val="0"/>
              <w:autoSpaceDN w:val="0"/>
              <w:adjustRightInd w:val="0"/>
              <w:rPr>
                <w:rFonts w:ascii="Times New Roman" w:hAnsi="Times New Roman"/>
              </w:rPr>
            </w:pPr>
          </w:p>
        </w:tc>
        <w:tc>
          <w:tcPr>
            <w:tcW w:w="1558" w:type="dxa"/>
          </w:tcPr>
          <w:p w14:paraId="628E4F43" w14:textId="7E2E0747" w:rsidR="00625B79" w:rsidRDefault="00625B79" w:rsidP="00B306DC">
            <w:pPr>
              <w:widowControl w:val="0"/>
              <w:autoSpaceDE w:val="0"/>
              <w:autoSpaceDN w:val="0"/>
              <w:adjustRightInd w:val="0"/>
              <w:rPr>
                <w:rFonts w:ascii="Times New Roman" w:hAnsi="Times New Roman"/>
              </w:rPr>
            </w:pPr>
            <w:r>
              <w:rPr>
                <w:rFonts w:ascii="Times New Roman" w:hAnsi="Times New Roman"/>
              </w:rPr>
              <w:t>G1</w:t>
            </w:r>
          </w:p>
        </w:tc>
        <w:tc>
          <w:tcPr>
            <w:tcW w:w="1558" w:type="dxa"/>
          </w:tcPr>
          <w:p w14:paraId="08839B14" w14:textId="34908E1D" w:rsidR="00625B79" w:rsidRDefault="00625B79" w:rsidP="00B306DC">
            <w:pPr>
              <w:widowControl w:val="0"/>
              <w:autoSpaceDE w:val="0"/>
              <w:autoSpaceDN w:val="0"/>
              <w:adjustRightInd w:val="0"/>
              <w:rPr>
                <w:rFonts w:ascii="Times New Roman" w:hAnsi="Times New Roman"/>
              </w:rPr>
            </w:pPr>
            <w:r>
              <w:rPr>
                <w:rFonts w:ascii="Times New Roman" w:hAnsi="Times New Roman"/>
              </w:rPr>
              <w:t>G2</w:t>
            </w:r>
          </w:p>
        </w:tc>
        <w:tc>
          <w:tcPr>
            <w:tcW w:w="1558" w:type="dxa"/>
          </w:tcPr>
          <w:p w14:paraId="4362B84E" w14:textId="6A75A693" w:rsidR="00625B79" w:rsidRDefault="00625B79" w:rsidP="00B306DC">
            <w:pPr>
              <w:widowControl w:val="0"/>
              <w:autoSpaceDE w:val="0"/>
              <w:autoSpaceDN w:val="0"/>
              <w:adjustRightInd w:val="0"/>
              <w:rPr>
                <w:rFonts w:ascii="Times New Roman" w:hAnsi="Times New Roman"/>
              </w:rPr>
            </w:pPr>
            <w:r>
              <w:rPr>
                <w:rFonts w:ascii="Times New Roman" w:hAnsi="Times New Roman"/>
              </w:rPr>
              <w:t>G1</w:t>
            </w:r>
          </w:p>
        </w:tc>
        <w:tc>
          <w:tcPr>
            <w:tcW w:w="1559" w:type="dxa"/>
          </w:tcPr>
          <w:p w14:paraId="3D456A0B" w14:textId="75425393" w:rsidR="00625B79" w:rsidRDefault="00625B79" w:rsidP="00B306DC">
            <w:pPr>
              <w:widowControl w:val="0"/>
              <w:autoSpaceDE w:val="0"/>
              <w:autoSpaceDN w:val="0"/>
              <w:adjustRightInd w:val="0"/>
              <w:rPr>
                <w:rFonts w:ascii="Times New Roman" w:hAnsi="Times New Roman"/>
              </w:rPr>
            </w:pPr>
            <w:r>
              <w:rPr>
                <w:rFonts w:ascii="Times New Roman" w:hAnsi="Times New Roman"/>
              </w:rPr>
              <w:t>G2</w:t>
            </w:r>
          </w:p>
        </w:tc>
      </w:tr>
      <w:tr w:rsidR="00625B79" w14:paraId="5009C414" w14:textId="77777777" w:rsidTr="00B1328E">
        <w:trPr>
          <w:trHeight w:val="289"/>
        </w:trPr>
        <w:tc>
          <w:tcPr>
            <w:tcW w:w="1558" w:type="dxa"/>
          </w:tcPr>
          <w:p w14:paraId="74B48B48" w14:textId="359B2E7F" w:rsidR="00625B79" w:rsidRDefault="00625B79" w:rsidP="00B306DC">
            <w:pPr>
              <w:widowControl w:val="0"/>
              <w:autoSpaceDE w:val="0"/>
              <w:autoSpaceDN w:val="0"/>
              <w:adjustRightInd w:val="0"/>
              <w:rPr>
                <w:rFonts w:ascii="Times New Roman" w:hAnsi="Times New Roman" w:cs="ArialMT"/>
              </w:rPr>
            </w:pPr>
            <w:r>
              <w:rPr>
                <w:rFonts w:ascii="Times New Roman" w:hAnsi="Times New Roman" w:cs="ArialMT"/>
              </w:rPr>
              <w:t>Reference Avg</w:t>
            </w:r>
          </w:p>
        </w:tc>
        <w:tc>
          <w:tcPr>
            <w:tcW w:w="3116" w:type="dxa"/>
            <w:gridSpan w:val="2"/>
          </w:tcPr>
          <w:p w14:paraId="1C715C4B" w14:textId="31EBB0FF" w:rsidR="00625B79" w:rsidRDefault="00625B79" w:rsidP="00B306DC">
            <w:pPr>
              <w:widowControl w:val="0"/>
              <w:autoSpaceDE w:val="0"/>
              <w:autoSpaceDN w:val="0"/>
              <w:adjustRightInd w:val="0"/>
              <w:rPr>
                <w:rFonts w:ascii="Times New Roman" w:hAnsi="Times New Roman"/>
              </w:rPr>
            </w:pPr>
            <w:r>
              <w:rPr>
                <w:rFonts w:ascii="Times New Roman" w:hAnsi="Times New Roman"/>
              </w:rPr>
              <w:t>21.28</w:t>
            </w:r>
          </w:p>
        </w:tc>
        <w:tc>
          <w:tcPr>
            <w:tcW w:w="3117" w:type="dxa"/>
            <w:gridSpan w:val="2"/>
          </w:tcPr>
          <w:p w14:paraId="2A1A5A5F" w14:textId="0DC4A6AA" w:rsidR="00625B79" w:rsidRDefault="00625B79" w:rsidP="00B306DC">
            <w:pPr>
              <w:widowControl w:val="0"/>
              <w:autoSpaceDE w:val="0"/>
              <w:autoSpaceDN w:val="0"/>
              <w:adjustRightInd w:val="0"/>
              <w:rPr>
                <w:rFonts w:ascii="Times New Roman" w:hAnsi="Times New Roman"/>
              </w:rPr>
            </w:pPr>
            <w:r>
              <w:rPr>
                <w:rFonts w:ascii="Times New Roman" w:hAnsi="Times New Roman"/>
              </w:rPr>
              <w:t>23.91</w:t>
            </w:r>
          </w:p>
        </w:tc>
      </w:tr>
      <w:tr w:rsidR="00625B79" w14:paraId="5D15FCE9" w14:textId="77777777" w:rsidTr="00625B79">
        <w:trPr>
          <w:trHeight w:val="289"/>
        </w:trPr>
        <w:tc>
          <w:tcPr>
            <w:tcW w:w="1558" w:type="dxa"/>
          </w:tcPr>
          <w:p w14:paraId="652194F4" w14:textId="21DEC8EE" w:rsidR="00625B79" w:rsidRPr="001A0670" w:rsidRDefault="00625B79" w:rsidP="00B306DC">
            <w:pPr>
              <w:widowControl w:val="0"/>
              <w:autoSpaceDE w:val="0"/>
              <w:autoSpaceDN w:val="0"/>
              <w:adjustRightInd w:val="0"/>
              <w:rPr>
                <w:rFonts w:ascii="Times New Roman" w:hAnsi="Times New Roman" w:cs="ArialMT"/>
              </w:rPr>
            </w:pPr>
            <w:r>
              <w:rPr>
                <w:rFonts w:ascii="Times New Roman" w:hAnsi="Times New Roman" w:cs="ArialMT"/>
              </w:rPr>
              <w:t>Average</w:t>
            </w:r>
          </w:p>
        </w:tc>
        <w:tc>
          <w:tcPr>
            <w:tcW w:w="1558" w:type="dxa"/>
          </w:tcPr>
          <w:p w14:paraId="545C51C5" w14:textId="4671B976" w:rsidR="00625B79" w:rsidRDefault="00625B79" w:rsidP="00B306DC">
            <w:pPr>
              <w:widowControl w:val="0"/>
              <w:autoSpaceDE w:val="0"/>
              <w:autoSpaceDN w:val="0"/>
              <w:adjustRightInd w:val="0"/>
              <w:rPr>
                <w:rFonts w:ascii="Times New Roman" w:hAnsi="Times New Roman"/>
              </w:rPr>
            </w:pPr>
            <w:r>
              <w:rPr>
                <w:rFonts w:ascii="Times New Roman" w:hAnsi="Times New Roman"/>
              </w:rPr>
              <w:t>25.15</w:t>
            </w:r>
          </w:p>
        </w:tc>
        <w:tc>
          <w:tcPr>
            <w:tcW w:w="1558" w:type="dxa"/>
          </w:tcPr>
          <w:p w14:paraId="74B9D971" w14:textId="291E90CD" w:rsidR="00625B79" w:rsidRDefault="00625B79" w:rsidP="00B306DC">
            <w:pPr>
              <w:widowControl w:val="0"/>
              <w:autoSpaceDE w:val="0"/>
              <w:autoSpaceDN w:val="0"/>
              <w:adjustRightInd w:val="0"/>
              <w:rPr>
                <w:rFonts w:ascii="Times New Roman" w:hAnsi="Times New Roman"/>
              </w:rPr>
            </w:pPr>
            <w:r>
              <w:rPr>
                <w:rFonts w:ascii="Times New Roman" w:hAnsi="Times New Roman"/>
              </w:rPr>
              <w:t>31.90</w:t>
            </w:r>
          </w:p>
        </w:tc>
        <w:tc>
          <w:tcPr>
            <w:tcW w:w="1558" w:type="dxa"/>
          </w:tcPr>
          <w:p w14:paraId="18D7ACF4" w14:textId="5D03CB5D" w:rsidR="00625B79" w:rsidRDefault="00625B79" w:rsidP="00B306DC">
            <w:pPr>
              <w:widowControl w:val="0"/>
              <w:autoSpaceDE w:val="0"/>
              <w:autoSpaceDN w:val="0"/>
              <w:adjustRightInd w:val="0"/>
              <w:rPr>
                <w:rFonts w:ascii="Times New Roman" w:hAnsi="Times New Roman"/>
              </w:rPr>
            </w:pPr>
            <w:r>
              <w:rPr>
                <w:rFonts w:ascii="Times New Roman" w:hAnsi="Times New Roman"/>
              </w:rPr>
              <w:t>35.01</w:t>
            </w:r>
          </w:p>
        </w:tc>
        <w:tc>
          <w:tcPr>
            <w:tcW w:w="1559" w:type="dxa"/>
          </w:tcPr>
          <w:p w14:paraId="2512CB82" w14:textId="39B91AF3" w:rsidR="00625B79" w:rsidRDefault="00625B79" w:rsidP="00B306DC">
            <w:pPr>
              <w:widowControl w:val="0"/>
              <w:autoSpaceDE w:val="0"/>
              <w:autoSpaceDN w:val="0"/>
              <w:adjustRightInd w:val="0"/>
              <w:rPr>
                <w:rFonts w:ascii="Times New Roman" w:hAnsi="Times New Roman"/>
              </w:rPr>
            </w:pPr>
            <w:r>
              <w:rPr>
                <w:rFonts w:ascii="Times New Roman" w:hAnsi="Times New Roman"/>
              </w:rPr>
              <w:t>29.65</w:t>
            </w:r>
          </w:p>
        </w:tc>
      </w:tr>
      <w:tr w:rsidR="00575D35" w14:paraId="5F1FDA91" w14:textId="77777777" w:rsidTr="00625B79">
        <w:trPr>
          <w:trHeight w:val="307"/>
        </w:trPr>
        <w:tc>
          <w:tcPr>
            <w:tcW w:w="1558" w:type="dxa"/>
          </w:tcPr>
          <w:p w14:paraId="44C9E524" w14:textId="21D8B23C" w:rsidR="00575D35" w:rsidRDefault="00625B79" w:rsidP="00B306DC">
            <w:pPr>
              <w:widowControl w:val="0"/>
              <w:autoSpaceDE w:val="0"/>
              <w:autoSpaceDN w:val="0"/>
              <w:adjustRightInd w:val="0"/>
              <w:rPr>
                <w:rFonts w:ascii="Times New Roman" w:hAnsi="Times New Roman"/>
              </w:rPr>
            </w:pPr>
            <w:r w:rsidRPr="001A0670">
              <w:rPr>
                <w:rFonts w:ascii="Times New Roman" w:hAnsi="Times New Roman" w:cs="ArialMT"/>
              </w:rPr>
              <w:t>ΔC</w:t>
            </w:r>
            <w:r w:rsidRPr="001A0670">
              <w:rPr>
                <w:rFonts w:ascii="Times New Roman" w:hAnsi="Times New Roman" w:cs="ArialMT"/>
                <w:szCs w:val="14"/>
                <w:vertAlign w:val="subscript"/>
              </w:rPr>
              <w:t>T</w:t>
            </w:r>
          </w:p>
        </w:tc>
        <w:tc>
          <w:tcPr>
            <w:tcW w:w="1558" w:type="dxa"/>
          </w:tcPr>
          <w:p w14:paraId="1E9F33C6" w14:textId="3FC89276" w:rsidR="00575D35" w:rsidRDefault="00625B79" w:rsidP="00B306DC">
            <w:pPr>
              <w:widowControl w:val="0"/>
              <w:autoSpaceDE w:val="0"/>
              <w:autoSpaceDN w:val="0"/>
              <w:adjustRightInd w:val="0"/>
              <w:rPr>
                <w:rFonts w:ascii="Times New Roman" w:hAnsi="Times New Roman"/>
              </w:rPr>
            </w:pPr>
            <w:r>
              <w:rPr>
                <w:rFonts w:ascii="Times New Roman" w:hAnsi="Times New Roman"/>
              </w:rPr>
              <w:t>3.87</w:t>
            </w:r>
          </w:p>
        </w:tc>
        <w:tc>
          <w:tcPr>
            <w:tcW w:w="1558" w:type="dxa"/>
          </w:tcPr>
          <w:p w14:paraId="5C91E62E" w14:textId="7C4A96F1" w:rsidR="00575D35" w:rsidRDefault="00625B79" w:rsidP="00B306DC">
            <w:pPr>
              <w:widowControl w:val="0"/>
              <w:autoSpaceDE w:val="0"/>
              <w:autoSpaceDN w:val="0"/>
              <w:adjustRightInd w:val="0"/>
              <w:rPr>
                <w:rFonts w:ascii="Times New Roman" w:hAnsi="Times New Roman"/>
              </w:rPr>
            </w:pPr>
            <w:r>
              <w:rPr>
                <w:rFonts w:ascii="Times New Roman" w:hAnsi="Times New Roman"/>
              </w:rPr>
              <w:t>10.62</w:t>
            </w:r>
          </w:p>
        </w:tc>
        <w:tc>
          <w:tcPr>
            <w:tcW w:w="1558" w:type="dxa"/>
          </w:tcPr>
          <w:p w14:paraId="6041FEDB" w14:textId="4EB99D88" w:rsidR="00575D35" w:rsidRDefault="00625B79" w:rsidP="00B306DC">
            <w:pPr>
              <w:widowControl w:val="0"/>
              <w:autoSpaceDE w:val="0"/>
              <w:autoSpaceDN w:val="0"/>
              <w:adjustRightInd w:val="0"/>
              <w:rPr>
                <w:rFonts w:ascii="Times New Roman" w:hAnsi="Times New Roman"/>
              </w:rPr>
            </w:pPr>
            <w:r>
              <w:rPr>
                <w:rFonts w:ascii="Times New Roman" w:hAnsi="Times New Roman"/>
              </w:rPr>
              <w:t>11.1</w:t>
            </w:r>
          </w:p>
        </w:tc>
        <w:tc>
          <w:tcPr>
            <w:tcW w:w="1559" w:type="dxa"/>
          </w:tcPr>
          <w:p w14:paraId="5EDB0B06" w14:textId="64172398" w:rsidR="00575D35" w:rsidRDefault="00625B79" w:rsidP="00B306DC">
            <w:pPr>
              <w:widowControl w:val="0"/>
              <w:autoSpaceDE w:val="0"/>
              <w:autoSpaceDN w:val="0"/>
              <w:adjustRightInd w:val="0"/>
              <w:rPr>
                <w:rFonts w:ascii="Times New Roman" w:hAnsi="Times New Roman"/>
              </w:rPr>
            </w:pPr>
            <w:r>
              <w:rPr>
                <w:rFonts w:ascii="Times New Roman" w:hAnsi="Times New Roman"/>
              </w:rPr>
              <w:t>5.74</w:t>
            </w:r>
          </w:p>
        </w:tc>
      </w:tr>
    </w:tbl>
    <w:p w14:paraId="52AEC43E" w14:textId="77777777" w:rsidR="00575D35" w:rsidRDefault="00575D35" w:rsidP="00B306DC">
      <w:pPr>
        <w:widowControl w:val="0"/>
        <w:autoSpaceDE w:val="0"/>
        <w:autoSpaceDN w:val="0"/>
        <w:adjustRightInd w:val="0"/>
        <w:spacing w:after="0" w:line="240" w:lineRule="auto"/>
        <w:rPr>
          <w:rFonts w:ascii="Times New Roman" w:hAnsi="Times New Roman"/>
        </w:rPr>
      </w:pPr>
    </w:p>
    <w:p w14:paraId="0BDEE6FC" w14:textId="745B4948" w:rsidR="00625B79" w:rsidRDefault="00625B79" w:rsidP="00B306DC">
      <w:pPr>
        <w:widowControl w:val="0"/>
        <w:autoSpaceDE w:val="0"/>
        <w:autoSpaceDN w:val="0"/>
        <w:adjustRightInd w:val="0"/>
        <w:spacing w:after="0" w:line="240" w:lineRule="auto"/>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Pr>
          <w:rFonts w:ascii="Times New Roman" w:hAnsi="Times New Roman" w:cs="ArialMT"/>
          <w:szCs w:val="14"/>
        </w:rPr>
        <w:t>(Gene 1): -7.23</w:t>
      </w:r>
    </w:p>
    <w:p w14:paraId="6E88DE2B" w14:textId="76F61947" w:rsidR="00625B79" w:rsidRDefault="00625B79" w:rsidP="00625B79">
      <w:pPr>
        <w:widowControl w:val="0"/>
        <w:autoSpaceDE w:val="0"/>
        <w:autoSpaceDN w:val="0"/>
        <w:adjustRightInd w:val="0"/>
        <w:spacing w:after="0" w:line="240" w:lineRule="auto"/>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Pr>
          <w:rFonts w:ascii="Times New Roman" w:hAnsi="Times New Roman" w:cs="ArialMT"/>
          <w:szCs w:val="14"/>
        </w:rPr>
        <w:t>(Gene 2): 4.88</w:t>
      </w:r>
    </w:p>
    <w:p w14:paraId="340B9BFD" w14:textId="77777777" w:rsidR="00625B79" w:rsidRDefault="00625B79" w:rsidP="00625B79">
      <w:pPr>
        <w:widowControl w:val="0"/>
        <w:autoSpaceDE w:val="0"/>
        <w:autoSpaceDN w:val="0"/>
        <w:adjustRightInd w:val="0"/>
        <w:spacing w:after="0" w:line="240" w:lineRule="auto"/>
        <w:rPr>
          <w:rFonts w:ascii="Times New Roman" w:hAnsi="Times New Roman" w:cs="ArialMT"/>
          <w:szCs w:val="14"/>
        </w:rPr>
      </w:pPr>
    </w:p>
    <w:p w14:paraId="1652215E" w14:textId="705199AE" w:rsidR="00625B79" w:rsidRPr="00625B79" w:rsidRDefault="00625B79" w:rsidP="00625B79">
      <w:pPr>
        <w:widowControl w:val="0"/>
        <w:autoSpaceDE w:val="0"/>
        <w:autoSpaceDN w:val="0"/>
        <w:adjustRightInd w:val="0"/>
        <w:spacing w:after="0" w:line="240" w:lineRule="auto"/>
        <w:rPr>
          <w:rFonts w:ascii="Times New Roman" w:hAnsi="Times New Roman" w:cs="ArialMT"/>
          <w:szCs w:val="14"/>
        </w:rPr>
      </w:pPr>
      <w:r>
        <w:rPr>
          <w:rFonts w:ascii="Times New Roman" w:hAnsi="Times New Roman" w:cs="ArialMT"/>
          <w:szCs w:val="14"/>
        </w:rPr>
        <w:t>ER (Gene 1): 2</w:t>
      </w:r>
      <w:r>
        <w:rPr>
          <w:rFonts w:ascii="Times New Roman" w:hAnsi="Times New Roman" w:cs="ArialMT"/>
          <w:szCs w:val="14"/>
          <w:vertAlign w:val="superscript"/>
        </w:rPr>
        <w:t>-(-7.23)</w:t>
      </w:r>
      <w:r>
        <w:rPr>
          <w:rFonts w:ascii="Times New Roman" w:hAnsi="Times New Roman" w:cs="ArialMT"/>
          <w:szCs w:val="14"/>
        </w:rPr>
        <w:t xml:space="preserve"> = </w:t>
      </w:r>
      <w:r w:rsidRPr="00625B79">
        <w:rPr>
          <w:rFonts w:ascii="Times New Roman" w:hAnsi="Times New Roman" w:cs="ArialMT"/>
          <w:szCs w:val="14"/>
        </w:rPr>
        <w:t>150.122873502</w:t>
      </w:r>
      <w:r>
        <w:rPr>
          <w:rFonts w:ascii="Times New Roman" w:hAnsi="Times New Roman" w:cs="ArialMT"/>
          <w:szCs w:val="14"/>
        </w:rPr>
        <w:t xml:space="preserve"> folds</w:t>
      </w:r>
    </w:p>
    <w:p w14:paraId="175117D1" w14:textId="0A266F50" w:rsidR="00625B79" w:rsidRPr="00625B79" w:rsidRDefault="00625B79" w:rsidP="00625B79">
      <w:pPr>
        <w:widowControl w:val="0"/>
        <w:autoSpaceDE w:val="0"/>
        <w:autoSpaceDN w:val="0"/>
        <w:adjustRightInd w:val="0"/>
        <w:spacing w:after="0" w:line="240" w:lineRule="auto"/>
        <w:rPr>
          <w:rFonts w:ascii="Times New Roman" w:hAnsi="Times New Roman" w:cs="ArialMT"/>
          <w:szCs w:val="14"/>
        </w:rPr>
      </w:pPr>
      <w:r>
        <w:rPr>
          <w:rFonts w:ascii="Times New Roman" w:hAnsi="Times New Roman" w:cs="ArialMT"/>
          <w:szCs w:val="14"/>
        </w:rPr>
        <w:t>ER (Gene 2): 2</w:t>
      </w:r>
      <w:r>
        <w:rPr>
          <w:rFonts w:ascii="Times New Roman" w:hAnsi="Times New Roman" w:cs="ArialMT"/>
          <w:szCs w:val="14"/>
          <w:vertAlign w:val="superscript"/>
        </w:rPr>
        <w:t>-(4.88)</w:t>
      </w:r>
      <w:r>
        <w:rPr>
          <w:rFonts w:ascii="Times New Roman" w:hAnsi="Times New Roman" w:cs="ArialMT"/>
          <w:szCs w:val="14"/>
        </w:rPr>
        <w:t xml:space="preserve"> = </w:t>
      </w:r>
      <w:r w:rsidRPr="00625B79">
        <w:rPr>
          <w:rFonts w:ascii="Times New Roman" w:hAnsi="Times New Roman" w:cs="ArialMT"/>
          <w:szCs w:val="14"/>
        </w:rPr>
        <w:t>0.0339604644539</w:t>
      </w:r>
      <w:r>
        <w:rPr>
          <w:rFonts w:ascii="Times New Roman" w:hAnsi="Times New Roman" w:cs="ArialMT"/>
          <w:szCs w:val="14"/>
        </w:rPr>
        <w:t xml:space="preserve"> folds</w:t>
      </w:r>
    </w:p>
    <w:p w14:paraId="50148186" w14:textId="77777777" w:rsidR="00625B79" w:rsidRDefault="00625B79" w:rsidP="00B306DC">
      <w:pPr>
        <w:widowControl w:val="0"/>
        <w:autoSpaceDE w:val="0"/>
        <w:autoSpaceDN w:val="0"/>
        <w:adjustRightInd w:val="0"/>
        <w:spacing w:after="0" w:line="240" w:lineRule="auto"/>
        <w:rPr>
          <w:rFonts w:ascii="Times New Roman" w:hAnsi="Times New Roman"/>
        </w:rPr>
      </w:pPr>
    </w:p>
    <w:p w14:paraId="485EFF87" w14:textId="434E9C97" w:rsidR="00625B79" w:rsidRDefault="00625B79" w:rsidP="00B306DC">
      <w:pPr>
        <w:widowControl w:val="0"/>
        <w:autoSpaceDE w:val="0"/>
        <w:autoSpaceDN w:val="0"/>
        <w:adjustRightInd w:val="0"/>
        <w:spacing w:after="0" w:line="240" w:lineRule="auto"/>
        <w:rPr>
          <w:rFonts w:ascii="Times New Roman" w:hAnsi="Times New Roman"/>
        </w:rPr>
      </w:pPr>
      <w:r>
        <w:rPr>
          <w:rFonts w:ascii="Times New Roman" w:hAnsi="Times New Roman"/>
        </w:rPr>
        <w:t xml:space="preserve">By these results, one can see that </w:t>
      </w:r>
      <w:r w:rsidR="00B77262">
        <w:rPr>
          <w:rFonts w:ascii="Times New Roman" w:hAnsi="Times New Roman"/>
        </w:rPr>
        <w:t xml:space="preserve">the presence of </w:t>
      </w:r>
      <w:r>
        <w:rPr>
          <w:rFonts w:ascii="Times New Roman" w:hAnsi="Times New Roman"/>
        </w:rPr>
        <w:t xml:space="preserve">Gene 1 is </w:t>
      </w:r>
      <w:r w:rsidR="00B77262">
        <w:rPr>
          <w:rFonts w:ascii="Times New Roman" w:hAnsi="Times New Roman"/>
        </w:rPr>
        <w:t>increased in the flower 150.123-fold compared to the reference gene. This means that Gene 1 is upregulated in flowers.</w:t>
      </w:r>
    </w:p>
    <w:p w14:paraId="7F2E21CD" w14:textId="44703F0C" w:rsidR="00B77262" w:rsidRPr="00625B79" w:rsidRDefault="00B77262" w:rsidP="00B306DC">
      <w:pPr>
        <w:widowControl w:val="0"/>
        <w:autoSpaceDE w:val="0"/>
        <w:autoSpaceDN w:val="0"/>
        <w:adjustRightInd w:val="0"/>
        <w:spacing w:after="0" w:line="240" w:lineRule="auto"/>
        <w:rPr>
          <w:rFonts w:ascii="Times New Roman" w:hAnsi="Times New Roman"/>
        </w:rPr>
      </w:pPr>
      <w:r>
        <w:rPr>
          <w:rFonts w:ascii="Times New Roman" w:hAnsi="Times New Roman"/>
        </w:rPr>
        <w:t>Inversely, Gene 2 is decreased 0.034-fold in the flower, meaning that the gene is downregulated in the flower in comparison to the leaf.</w:t>
      </w:r>
    </w:p>
    <w:sectPr w:rsidR="00B77262" w:rsidRPr="00625B79" w:rsidSect="00AF43B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8194" w14:textId="77777777" w:rsidR="007C5D08" w:rsidRDefault="007C5D08" w:rsidP="00094DCC">
      <w:pPr>
        <w:spacing w:after="0" w:line="240" w:lineRule="auto"/>
      </w:pPr>
      <w:r>
        <w:separator/>
      </w:r>
    </w:p>
  </w:endnote>
  <w:endnote w:type="continuationSeparator" w:id="0">
    <w:p w14:paraId="04CA65AD" w14:textId="77777777" w:rsidR="007C5D08" w:rsidRDefault="007C5D08" w:rsidP="0009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295770"/>
      <w:docPartObj>
        <w:docPartGallery w:val="Page Numbers (Bottom of Page)"/>
        <w:docPartUnique/>
      </w:docPartObj>
    </w:sdtPr>
    <w:sdtEndPr>
      <w:rPr>
        <w:noProof/>
      </w:rPr>
    </w:sdtEndPr>
    <w:sdtContent>
      <w:p w14:paraId="3D8F6864" w14:textId="77777777" w:rsidR="00094DCC" w:rsidRDefault="00094DCC">
        <w:pPr>
          <w:pStyle w:val="Footer"/>
          <w:jc w:val="right"/>
        </w:pPr>
        <w:r>
          <w:fldChar w:fldCharType="begin"/>
        </w:r>
        <w:r>
          <w:instrText xml:space="preserve"> PAGE   \* MERGEFORMAT </w:instrText>
        </w:r>
        <w:r>
          <w:fldChar w:fldCharType="separate"/>
        </w:r>
        <w:r w:rsidR="00602F6D">
          <w:rPr>
            <w:noProof/>
          </w:rPr>
          <w:t>1</w:t>
        </w:r>
        <w:r>
          <w:rPr>
            <w:noProof/>
          </w:rPr>
          <w:fldChar w:fldCharType="end"/>
        </w:r>
      </w:p>
    </w:sdtContent>
  </w:sdt>
  <w:p w14:paraId="41A49759" w14:textId="77777777" w:rsidR="00094DCC" w:rsidRDefault="00094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57ED" w14:textId="77777777" w:rsidR="007C5D08" w:rsidRDefault="007C5D08" w:rsidP="00094DCC">
      <w:pPr>
        <w:spacing w:after="0" w:line="240" w:lineRule="auto"/>
      </w:pPr>
      <w:r>
        <w:separator/>
      </w:r>
    </w:p>
  </w:footnote>
  <w:footnote w:type="continuationSeparator" w:id="0">
    <w:p w14:paraId="5D5DEF58" w14:textId="77777777" w:rsidR="007C5D08" w:rsidRDefault="007C5D08" w:rsidP="00094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0C87"/>
    <w:multiLevelType w:val="hybridMultilevel"/>
    <w:tmpl w:val="198EB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84318"/>
    <w:multiLevelType w:val="multilevel"/>
    <w:tmpl w:val="6844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D4B9A"/>
    <w:multiLevelType w:val="hybridMultilevel"/>
    <w:tmpl w:val="5C1E6ED4"/>
    <w:lvl w:ilvl="0" w:tplc="A78E5C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94D1709"/>
    <w:multiLevelType w:val="hybridMultilevel"/>
    <w:tmpl w:val="ACA2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566046">
    <w:abstractNumId w:val="0"/>
  </w:num>
  <w:num w:numId="2" w16cid:durableId="2026711079">
    <w:abstractNumId w:val="3"/>
  </w:num>
  <w:num w:numId="3" w16cid:durableId="193814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63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235"/>
    <w:rsid w:val="000205D5"/>
    <w:rsid w:val="00072137"/>
    <w:rsid w:val="00094DCC"/>
    <w:rsid w:val="000E39AB"/>
    <w:rsid w:val="00196C11"/>
    <w:rsid w:val="002221F7"/>
    <w:rsid w:val="003C5B10"/>
    <w:rsid w:val="004032A0"/>
    <w:rsid w:val="00521D15"/>
    <w:rsid w:val="00531283"/>
    <w:rsid w:val="00575D35"/>
    <w:rsid w:val="005A430A"/>
    <w:rsid w:val="00602F6D"/>
    <w:rsid w:val="00625B79"/>
    <w:rsid w:val="00626472"/>
    <w:rsid w:val="006604F7"/>
    <w:rsid w:val="00677DE6"/>
    <w:rsid w:val="006C2135"/>
    <w:rsid w:val="00720817"/>
    <w:rsid w:val="0075612B"/>
    <w:rsid w:val="00781F9F"/>
    <w:rsid w:val="007C4D26"/>
    <w:rsid w:val="007C5D08"/>
    <w:rsid w:val="00851599"/>
    <w:rsid w:val="008551E9"/>
    <w:rsid w:val="00935632"/>
    <w:rsid w:val="00984C85"/>
    <w:rsid w:val="009D4396"/>
    <w:rsid w:val="009E36B8"/>
    <w:rsid w:val="009E65D8"/>
    <w:rsid w:val="00A03235"/>
    <w:rsid w:val="00A0774D"/>
    <w:rsid w:val="00A56630"/>
    <w:rsid w:val="00AF43B6"/>
    <w:rsid w:val="00B306DC"/>
    <w:rsid w:val="00B77262"/>
    <w:rsid w:val="00C2636D"/>
    <w:rsid w:val="00CC0E89"/>
    <w:rsid w:val="00CD7659"/>
    <w:rsid w:val="00EB4546"/>
    <w:rsid w:val="00ED5CA4"/>
    <w:rsid w:val="00F07992"/>
    <w:rsid w:val="00F11A62"/>
    <w:rsid w:val="00FB530D"/>
    <w:rsid w:val="00FC335B"/>
    <w:rsid w:val="00FD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2E39"/>
  <w15:docId w15:val="{A3B6547A-71F8-41BB-97DD-C98FF4DF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235"/>
    <w:rPr>
      <w:rFonts w:ascii="Courier New" w:eastAsia="Times New Roman" w:hAnsi="Courier New" w:cs="Courier New"/>
      <w:sz w:val="20"/>
      <w:szCs w:val="20"/>
    </w:rPr>
  </w:style>
  <w:style w:type="character" w:customStyle="1" w:styleId="ffline">
    <w:name w:val="ff_line"/>
    <w:basedOn w:val="DefaultParagraphFont"/>
    <w:rsid w:val="00A03235"/>
  </w:style>
  <w:style w:type="paragraph" w:styleId="ListParagraph">
    <w:name w:val="List Paragraph"/>
    <w:basedOn w:val="Normal"/>
    <w:uiPriority w:val="34"/>
    <w:qFormat/>
    <w:rsid w:val="009D4396"/>
    <w:pPr>
      <w:ind w:left="720"/>
      <w:contextualSpacing/>
    </w:pPr>
    <w:rPr>
      <w:lang w:val="en-CA"/>
    </w:rPr>
  </w:style>
  <w:style w:type="character" w:styleId="Hyperlink">
    <w:name w:val="Hyperlink"/>
    <w:basedOn w:val="DefaultParagraphFont"/>
    <w:uiPriority w:val="99"/>
    <w:unhideWhenUsed/>
    <w:rsid w:val="004032A0"/>
    <w:rPr>
      <w:color w:val="0000FF" w:themeColor="hyperlink"/>
      <w:u w:val="single"/>
    </w:rPr>
  </w:style>
  <w:style w:type="table" w:styleId="TableGrid">
    <w:name w:val="Table Grid"/>
    <w:basedOn w:val="TableNormal"/>
    <w:uiPriority w:val="59"/>
    <w:rsid w:val="0053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4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DCC"/>
    <w:rPr>
      <w:rFonts w:ascii="Tahoma" w:hAnsi="Tahoma" w:cs="Tahoma"/>
      <w:sz w:val="16"/>
      <w:szCs w:val="16"/>
    </w:rPr>
  </w:style>
  <w:style w:type="character" w:customStyle="1" w:styleId="apple-converted-space">
    <w:name w:val="apple-converted-space"/>
    <w:basedOn w:val="DefaultParagraphFont"/>
    <w:rsid w:val="00094DCC"/>
  </w:style>
  <w:style w:type="paragraph" w:styleId="Header">
    <w:name w:val="header"/>
    <w:basedOn w:val="Normal"/>
    <w:link w:val="HeaderChar"/>
    <w:uiPriority w:val="99"/>
    <w:unhideWhenUsed/>
    <w:rsid w:val="00094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DCC"/>
  </w:style>
  <w:style w:type="paragraph" w:styleId="Footer">
    <w:name w:val="footer"/>
    <w:basedOn w:val="Normal"/>
    <w:link w:val="FooterChar"/>
    <w:uiPriority w:val="99"/>
    <w:unhideWhenUsed/>
    <w:rsid w:val="00094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5141">
      <w:bodyDiv w:val="1"/>
      <w:marLeft w:val="0"/>
      <w:marRight w:val="0"/>
      <w:marTop w:val="0"/>
      <w:marBottom w:val="0"/>
      <w:divBdr>
        <w:top w:val="none" w:sz="0" w:space="0" w:color="auto"/>
        <w:left w:val="none" w:sz="0" w:space="0" w:color="auto"/>
        <w:bottom w:val="none" w:sz="0" w:space="0" w:color="auto"/>
        <w:right w:val="none" w:sz="0" w:space="0" w:color="auto"/>
      </w:divBdr>
    </w:div>
    <w:div w:id="685179792">
      <w:bodyDiv w:val="1"/>
      <w:marLeft w:val="0"/>
      <w:marRight w:val="0"/>
      <w:marTop w:val="0"/>
      <w:marBottom w:val="0"/>
      <w:divBdr>
        <w:top w:val="none" w:sz="0" w:space="0" w:color="auto"/>
        <w:left w:val="none" w:sz="0" w:space="0" w:color="auto"/>
        <w:bottom w:val="none" w:sz="0" w:space="0" w:color="auto"/>
        <w:right w:val="none" w:sz="0" w:space="0" w:color="auto"/>
      </w:divBdr>
    </w:div>
    <w:div w:id="967661808">
      <w:bodyDiv w:val="1"/>
      <w:marLeft w:val="0"/>
      <w:marRight w:val="0"/>
      <w:marTop w:val="0"/>
      <w:marBottom w:val="0"/>
      <w:divBdr>
        <w:top w:val="none" w:sz="0" w:space="0" w:color="auto"/>
        <w:left w:val="none" w:sz="0" w:space="0" w:color="auto"/>
        <w:bottom w:val="none" w:sz="0" w:space="0" w:color="auto"/>
        <w:right w:val="none" w:sz="0" w:space="0" w:color="auto"/>
      </w:divBdr>
    </w:div>
    <w:div w:id="13659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SMahmoud</dc:creator>
  <cp:lastModifiedBy>Trevor Fox</cp:lastModifiedBy>
  <cp:revision>4</cp:revision>
  <dcterms:created xsi:type="dcterms:W3CDTF">2019-03-04T17:09:00Z</dcterms:created>
  <dcterms:modified xsi:type="dcterms:W3CDTF">2023-10-04T06:12:00Z</dcterms:modified>
</cp:coreProperties>
</file>