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ПОЛИТИКА ОБРАБОТКИ ПЕРСОНАЛЬНЫХ ДАННЫХ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Сервиса «Бартерон»</w:t>
      </w:r>
    </w:p>
    <w:tbl>
      <w:tblPr>
        <w:tblStyle w:val="Table1"/>
        <w:tblW w:w="96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2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г. Москва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 февраля 2025 года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Данная Политика обработки персональных данных составлена в соответствии с требованиями Федерального закона от 27.07.2006 №152-ФЗ «О персональных данных» и определяет: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случаи и порядок обработки Сервисом «Бартерон» персональных данных;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обеспечения Сервисом «Бартерон» безопасности и обработки персональных данных такой информации при взаимодействии с Пользователями Сервиса «Бартерон».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Политика обработки персональных данных действует в отношении всей информации, которая может быть получена о Пользователе сервиса во время использования Сервиса «Бартерон» через Сайт и через Мобильное приложение.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Сервис «Бартерон» в своей деятельности учитывает необходимость безукоризненного соблюдения прав и свобод человека и гражданина при обработке его персональных данных, в том числе защиты права на неприкосновенность частной жизни.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Сервиса «Бартерон» без согласия с Политикой обработки персональных данных не допускается. Пользователь сервиса, не согласный с Политикой обработки персональных данных, обязан прекратить использование Сервиса «Бартерон».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Пользователь сервиса считается согласившимся с Политикой обработки персональных данных, если он: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 использование Сервиса «Бартерон»;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регистрируется в Сервисе «Бартерон»;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предоставляет Сервису «Бартерон персональные данные в связи с использованием сервиса;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даче согласия на получение от Сервиса «Бартерон» рассылок и уведомлений.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Совершение вышеназванных действий свидетельствует о том, что Пользователь согласился с нижеизложенными условиями Политики обработки персональных данных, которые определяются.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Сервис «Бартерон» оставляет за собой вносить любые изменения в Политику обработки персональных данных. Пользователь сервиса, продолжающий совершать описанные выше действия, соглашается с внесенными в Политику обработки персональных данных изменениями.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Политика обработки персональных данных размещена в открытом доступе на сайте https://barteron.club/docs/ru-RU/PersonalDataProcessingPolicy.pdf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Политике обработки персональных данных следующие термины и определения, написанные с заглавной буквы, имеют следующее значение: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Закон о персональных данных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Федеральный закон от 27.07.2006 № 152-ФЗ «О персональных данных».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Личный кабинет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персональный раздел Пользователя Сервиса «Бартерон», в котором содержится Персональная информация о товарах и заказах;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Мобильное приложение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программа для мобильных устройств, обеспечивающая доступ Пользователей сервиса к Сервису «Бартерон»;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Обработка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Автоматизированная обработка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обработка персональных данных с помощью средств вычислительной техники;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Распространение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действия, направленные на раскрытие персональных данных неопределенному кругу лиц;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Предоставление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Блокирование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Уничтожение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Обезличивание персональных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Оператор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Сервис «Бартерон», предоставляющий услуги по его использованию;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Персональные данные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любая информация, относящаяся к Пользователю сервиса;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Пользователь сервиса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Клиент, использующий Сервис «Бартерон»;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Сайт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совокупность страниц в сети «Интернет», обеспечивающая доступ Пользователя к Сервису ««Бартерон».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Сервис «Бартерон»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программно-аппаратный комплекс, доступ к которому обеспечивается функциональностью Сайта и/или Мобильного приложения, посредством которого Пользователь сервиса получает возможность обменивать товары на другие товары или иное имущество, заключая соответствующие соглашения с другими Пользователями сервиса.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 «иным имуществом» здесь и далее понимаются любые объекты гражданских прав по смыслу применимого права, в том числе, но не исключая: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вещи;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безналичные денежные средства;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наличные деньги;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цифровые права;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криптовалюта и иная цифровая валюта;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работ и оказания услуг.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ТОЛКОВАНИЯ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всем остальном, что не урегулировано Политикой обработки персональных данных, применяются положения Закона о персональных данных в редакции, действующей на момент принятия Политики обработки персональных данных.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Любое толкование положений Политики обработки персональных данных должно быть направлено на сохранение их в силе. Так, в случае сомнений любое положение Политики обработки персональных данных должно рассматриваться как действительное.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недействительности отдельного положения Политика обработки персональных данных сохраняет свое действие в оставшейся части, если только не будет особо доказано, что без недействительной части Политика обработки персональных данных не может продолжить действие.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положение Политики обработки персональных данных оказывается недействительным в какой-либо части, то оно автоматически изменяется до приемлемых параметров.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СЛУЧАИ ОБРАБОТКИ ПЕРСОНАЛЬНЫХ ДАННЫХ ПОЛЬЗОВАТЕЛЕЙ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«Бартерон» осуществляет обработку Персональных данных Пользователей сервиса в следующих случаях: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регистрации в Сервисе «Бартерон»;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использовании Сервиса «Бартерон»;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ОБЪЕМ ОБРАБАТЫВАЕМЫХ ПЕРСОНАЛЬНЫХ ДАННЫХ ПОЛЬЗОВАТЕЛЕЙ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собирает и хранит только те Персональные данные Пользователей сервиса, которые необходимы для предоставления доступа к Сервису «Бартерон», функционирования Сервиса «Бартерон», или исполнения соглашений и договоров с Пользователем сервиса, за исключением случаев, когда законодательством предусмотрено обязательное хранение Персональных данных в течение определенного законом срока, либо когда Пользователь предоставил их самостоятельно.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может осуществлять обработку следующих Персональных данных Пользователей сервиса: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9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Пользовательские данные (в том числе, но не ограничиваясь этим, IP-адрес, сведения о местоположении, тип устройства, с помощью которого осуществляется использование Сервиса «Бартерон»).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Во избежание сомнений Сервис «Бартерон» заверяет, что он не обрабатывает иные Персональные данные.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Принимая настоящую Политику обработки персональных данных, Пользователь сервиса соглашается с тем, что Оператор будет обрабатывать обезличенные данные о Пользователе сервиса в случае, если это разрешено в настройках браузера Пользователя сервиса (включено сохранение файлов 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использование технологии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ОБРАБОТКИ ПЕРСОНАЛЬНЫХ ДАННЫХ ПОЛЬЗОВАТЕЛЕЙ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Обработке подлежат только Персональные данные, которые отвечают целям их обработки.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Целями обработки Персональных данных являются: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заключение, исполнение и прекращение договоров, сторонами которых являются Оператор и Пользователь сервиса;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аутентификация Пользователя сервиса для предоставления ему доступа в Сервис «Бартерон» и (или) к отдельным функциям Сервиса «Бартерон»;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имеет право направлять Пользователю сервиса рекламные сообщения, информационные продукты, уникальные предложения, а также уведомления о новых продуктах и услугах, событиях.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сервиса имеет право отказаться от получения информационных сообщений, выбрав опцию «Отказаться от рассылки» в соответствующем разделе Личного кабинета, либо направив соответствующее письмо на адрес электронной почты Оператора: support@bastyon.com.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ОБРАБОТКИ ПЕРСОНАЛЬНОЙ ИНФОРМАЦИИ ПОЛЬЗОВАТЕЛЕЙ И ЕЕ ПЕРЕДАЧИ ТРЕТЬИМ ЛИЦАМ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персональных данных Пользователя сервиса осуществляется в соответствии с Законом о персональных данных.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будет хранить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персональную информацию Пользователя сервиса в соответствии с внутренними регламентами Сервиса «Бартерон».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хранения персональной информации не ограничен. За Пользователем сохраняется право отзыва согласия на обработку Персональной информации. Для этого ему необходимо уведомить Оператора по адресу электронной почты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support@bastyon.com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Отзыв согласия должен быть сформулирован явно и недвусмысленно.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момента отзыва согласия на обработку Персональных данных Оператор оставляет за собой право ограничить доступ Пользователя сервиса к Сервису «Бартерон».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Отзыв согласия не лишает Пользователя сервиса предоставить соответствующее согласие вновь.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сервиса отвечает за актуальность и достоверность переданных персональных данных. Все последствия, вызванные неточностью предоставленной информации, несет Пользователь сервиса.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утрате или разглашении персональных данных Оператор информирует Пользователя об утрате или разглашении персональных данных.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принимает необходимые организационные и технические меры для защиты персональной информации Пользователя сервиса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обязуется блокировать персональные данные, относящиеся к соответствующему Пользователю сервиса, с момента обращения или запроса Пользователя сервиса или его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0.9999999999999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персональной информации Пользователя сервиса происходит без ограничения по времени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Оператор, не исполнивший свои обязательства, несет ответственность за убытки, понесенные Пользователем сервиса в связи с неправомерным использованием Персональных данных, в соответствии с законодательством Российской Федерации.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 Оператор не отвечает за упущенную выгоду Пользователя сервиса, которую он понес в результате разглашения Персональных данных.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утраты или разглашения персональных данных Пользователя сервиса Оператор не несет ответственности, если персональные данные: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стали публичным достоянием до их утраты или разглашения;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получены от третьей стороны до момента их получения Оператором;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разглашены с согласия Пользователя сервиса;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142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утрачены и/или разглашены в результате преступных действий третьих лиц, за действия которых Оператор не отвечает.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РАЗРЕШЕНИЕ СПОРОВ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обращения в суд с иском по спорам, возникающим из отношений между Пользователем сервиса и Оператором, обязательным является предъявление претензии (письменного предложения о добровольном урегулировании спора).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Получатель претензии в течение 10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Изменения в Политику обработки персональных данных могут быть внесены Оператором без согласия Пользователя сервиса.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Новая Политика обработки персональных данных вступает в силу с момента ее размещения на Сайте, если иное не предусмотрено новой редакцией Политики обработки персональных данных.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сервиса может в любое время направить Оператору предложения или вопросы относительно применения Политики обработки персональных данных, направив соответствующее обращение по следующему адресу электронной почты: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support@bastyon.com.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440" w:top="1440" w:left="1440" w:right="8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1"/>
        <w:i w:val="1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2.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2">
    <w:lvl w:ilvl="0">
      <w:start w:val="1"/>
      <w:numFmt w:val="decimal"/>
      <w:lvlText w:val="6.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3">
    <w:lvl w:ilvl="0">
      <w:start w:val="1"/>
      <w:numFmt w:val="decimal"/>
      <w:lvlText w:val="8.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4">
    <w:lvl w:ilvl="0">
      <w:start w:val="1"/>
      <w:numFmt w:val="decimal"/>
      <w:lvlText w:val="9.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6">
    <w:lvl w:ilvl="0">
      <w:start w:val="1"/>
      <w:numFmt w:val="decimal"/>
      <w:lvlText w:val="10.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decimal"/>
      <w:lvlText w:val="%1.−.%3."/>
      <w:lvlJc w:val="left"/>
      <w:pPr>
        <w:ind w:left="1080" w:hanging="720"/>
      </w:pPr>
      <w:rPr/>
    </w:lvl>
    <w:lvl w:ilvl="3">
      <w:start w:val="1"/>
      <w:numFmt w:val="decimal"/>
      <w:lvlText w:val="%1.−.%3.%4."/>
      <w:lvlJc w:val="left"/>
      <w:pPr>
        <w:ind w:left="1440" w:hanging="1080"/>
      </w:pPr>
      <w:rPr/>
    </w:lvl>
    <w:lvl w:ilvl="4">
      <w:start w:val="1"/>
      <w:numFmt w:val="decimal"/>
      <w:lvlText w:val="%1.−.%3.%4.%5."/>
      <w:lvlJc w:val="left"/>
      <w:pPr>
        <w:ind w:left="1440" w:hanging="1080"/>
      </w:pPr>
      <w:rPr/>
    </w:lvl>
    <w:lvl w:ilvl="5">
      <w:start w:val="1"/>
      <w:numFmt w:val="decimal"/>
      <w:lvlText w:val="%1.−.%3.%4.%5.%6."/>
      <w:lvlJc w:val="left"/>
      <w:pPr>
        <w:ind w:left="1800" w:hanging="1440"/>
      </w:pPr>
      <w:rPr/>
    </w:lvl>
    <w:lvl w:ilvl="6">
      <w:start w:val="1"/>
      <w:numFmt w:val="decimal"/>
      <w:lvlText w:val="%1.−.%3.%4.%5.%6.%7."/>
      <w:lvlJc w:val="left"/>
      <w:pPr>
        <w:ind w:left="1800" w:hanging="1440"/>
      </w:pPr>
      <w:rPr/>
    </w:lvl>
    <w:lvl w:ilvl="7">
      <w:start w:val="1"/>
      <w:numFmt w:val="decimal"/>
      <w:lvlText w:val="%1.−.%3.%4.%5.%6.%7.%8."/>
      <w:lvlJc w:val="left"/>
      <w:pPr>
        <w:ind w:left="2160" w:hanging="1800"/>
      </w:pPr>
      <w:rPr/>
    </w:lvl>
    <w:lvl w:ilvl="8">
      <w:start w:val="1"/>
      <w:numFmt w:val="decimal"/>
      <w:lvlText w:val="%1.−.%3.%4.%5.%6.%7.%8.%9."/>
      <w:lvlJc w:val="left"/>
      <w:pPr>
        <w:ind w:left="2520" w:hanging="216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ru-RU"/>
      </w:rPr>
    </w:rPrDefault>
    <w:pPrDefault>
      <w:pPr>
        <w:spacing w:after="12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AE4B9C"/>
    <w:pPr>
      <w:tabs>
        <w:tab w:val="center" w:pos="4677"/>
        <w:tab w:val="right" w:pos="9355"/>
      </w:tabs>
      <w:spacing w:after="0" w:before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E4B9C"/>
  </w:style>
  <w:style w:type="paragraph" w:styleId="a5">
    <w:name w:val="footer"/>
    <w:basedOn w:val="a"/>
    <w:link w:val="a6"/>
    <w:uiPriority w:val="99"/>
    <w:unhideWhenUsed w:val="1"/>
    <w:rsid w:val="00AE4B9C"/>
    <w:pPr>
      <w:tabs>
        <w:tab w:val="center" w:pos="4677"/>
        <w:tab w:val="right" w:pos="9355"/>
      </w:tabs>
      <w:spacing w:after="0" w:before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E4B9C"/>
  </w:style>
  <w:style w:type="paragraph" w:styleId="a7">
    <w:name w:val="List Paragraph"/>
    <w:basedOn w:val="a"/>
    <w:link w:val="a8"/>
    <w:uiPriority w:val="34"/>
    <w:qFormat w:val="1"/>
    <w:rsid w:val="007A4CFC"/>
    <w:pPr>
      <w:ind w:left="720"/>
      <w:contextualSpacing w:val="1"/>
    </w:pPr>
  </w:style>
  <w:style w:type="table" w:styleId="a9">
    <w:name w:val="Table Grid"/>
    <w:basedOn w:val="a1"/>
    <w:uiPriority w:val="39"/>
    <w:rsid w:val="005E509D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Hyperlink"/>
    <w:basedOn w:val="a0"/>
    <w:uiPriority w:val="99"/>
    <w:unhideWhenUsed w:val="1"/>
    <w:rsid w:val="00E4263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 w:val="1"/>
    <w:unhideWhenUsed w:val="1"/>
    <w:rsid w:val="00E4263A"/>
    <w:rPr>
      <w:color w:val="605e5c"/>
      <w:shd w:color="auto" w:fill="e1dfdd" w:val="clear"/>
    </w:rPr>
  </w:style>
  <w:style w:type="paragraph" w:styleId="ConsPlusNonformat" w:customStyle="1">
    <w:name w:val="ConsPlusNonformat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EastAsia"/>
      <w:sz w:val="20"/>
      <w:lang w:eastAsia="ru-RU"/>
    </w:rPr>
  </w:style>
  <w:style w:type="paragraph" w:styleId="ConsPlusNormal" w:customStyle="1">
    <w:name w:val="ConsPlusNormal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Arial" w:cs="Arial" w:hAnsi="Arial" w:eastAsiaTheme="minorEastAsia"/>
      <w:sz w:val="20"/>
      <w:lang w:eastAsia="ru-RU"/>
    </w:rPr>
  </w:style>
  <w:style w:type="paragraph" w:styleId="ConsPlusTitle" w:customStyle="1">
    <w:name w:val="ConsPlusTitle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Arial" w:cs="Arial" w:hAnsi="Arial" w:eastAsiaTheme="minorEastAsia"/>
      <w:b w:val="1"/>
      <w:sz w:val="20"/>
      <w:lang w:eastAsia="ru-RU"/>
    </w:rPr>
  </w:style>
  <w:style w:type="paragraph" w:styleId="ConsPlusCell" w:customStyle="1">
    <w:name w:val="ConsPlusCell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EastAsia"/>
      <w:sz w:val="20"/>
      <w:lang w:eastAsia="ru-RU"/>
    </w:rPr>
  </w:style>
  <w:style w:type="paragraph" w:styleId="ConsPlusDocList" w:customStyle="1">
    <w:name w:val="ConsPlusDocList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EastAsia"/>
      <w:sz w:val="20"/>
      <w:lang w:eastAsia="ru-RU"/>
    </w:rPr>
  </w:style>
  <w:style w:type="paragraph" w:styleId="ConsPlusTitlePage" w:customStyle="1">
    <w:name w:val="ConsPlusTitlePage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Tahoma" w:cs="Tahoma" w:hAnsi="Tahoma" w:eastAsiaTheme="minorEastAsia"/>
      <w:sz w:val="20"/>
      <w:lang w:eastAsia="ru-RU"/>
    </w:rPr>
  </w:style>
  <w:style w:type="paragraph" w:styleId="ConsPlusJurTerm" w:customStyle="1">
    <w:name w:val="ConsPlusJurTerm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Tahoma" w:cs="Tahoma" w:hAnsi="Tahoma" w:eastAsiaTheme="minorEastAsia"/>
      <w:sz w:val="26"/>
      <w:lang w:eastAsia="ru-RU"/>
    </w:rPr>
  </w:style>
  <w:style w:type="paragraph" w:styleId="ConsPlusTextList" w:customStyle="1">
    <w:name w:val="ConsPlusTextList"/>
    <w:rsid w:val="00272531"/>
    <w:pPr>
      <w:widowControl w:val="0"/>
      <w:autoSpaceDE w:val="0"/>
      <w:autoSpaceDN w:val="0"/>
      <w:spacing w:after="0" w:before="0" w:line="240" w:lineRule="auto"/>
      <w:jc w:val="left"/>
    </w:pPr>
    <w:rPr>
      <w:rFonts w:ascii="Arial" w:cs="Arial" w:hAnsi="Arial" w:eastAsiaTheme="minorEastAsia"/>
      <w:sz w:val="20"/>
      <w:lang w:eastAsia="ru-RU"/>
    </w:rPr>
  </w:style>
  <w:style w:type="paragraph" w:styleId="ac">
    <w:name w:val="Revision"/>
    <w:hidden w:val="1"/>
    <w:uiPriority w:val="99"/>
    <w:semiHidden w:val="1"/>
    <w:rsid w:val="00272531"/>
    <w:pPr>
      <w:spacing w:after="0" w:before="0" w:line="240" w:lineRule="auto"/>
      <w:jc w:val="left"/>
    </w:pPr>
    <w:rPr>
      <w:rFonts w:asciiTheme="minorHAnsi" w:cstheme="minorBidi" w:hAnsiTheme="minorHAnsi"/>
      <w:sz w:val="24"/>
    </w:rPr>
  </w:style>
  <w:style w:type="character" w:styleId="ad">
    <w:name w:val="annotation reference"/>
    <w:basedOn w:val="a0"/>
    <w:uiPriority w:val="99"/>
    <w:semiHidden w:val="1"/>
    <w:unhideWhenUsed w:val="1"/>
    <w:rsid w:val="004D38B9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4D38B9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4D38B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4D38B9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4D38B9"/>
    <w:rPr>
      <w:b w:val="1"/>
      <w:bCs w:val="1"/>
      <w:sz w:val="20"/>
      <w:szCs w:val="20"/>
    </w:rPr>
  </w:style>
  <w:style w:type="character" w:styleId="af2">
    <w:name w:val="FollowedHyperlink"/>
    <w:basedOn w:val="a0"/>
    <w:uiPriority w:val="99"/>
    <w:semiHidden w:val="1"/>
    <w:unhideWhenUsed w:val="1"/>
    <w:rsid w:val="006D438C"/>
    <w:rPr>
      <w:color w:val="954f72" w:themeColor="followedHyperlink"/>
      <w:u w:val="single"/>
    </w:rPr>
  </w:style>
  <w:style w:type="character" w:styleId="a8" w:customStyle="1">
    <w:name w:val="Абзац списка Знак"/>
    <w:basedOn w:val="a0"/>
    <w:link w:val="a7"/>
    <w:uiPriority w:val="34"/>
    <w:rsid w:val="00F069B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5kzus9AeQ1DCnnZUW7sskUknzQ==">CgMxLjA4AHIhMVNrb0xWSnhwT1RLbHlaNFB5TDl2aHlORVdyZkJyZGUz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2025-02-05T12:13:00Z</dcterms:created>
  <dc:creator>Даниил Борейшо</dc:creator>
</cp:coreProperties>
</file>