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ПОЛЬЗОВАТЕЛЬСКОЕ СОГЛАШЕНИЕ</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Сервиса «Бартерон»</w:t>
      </w:r>
    </w:p>
    <w:p w:rsidR="00000000" w:rsidDel="00000000" w:rsidP="00000000" w:rsidRDefault="00000000" w:rsidRPr="00000000" w14:paraId="00000003">
      <w:pPr>
        <w:jc w:val="center"/>
        <w:rPr>
          <w:rFonts w:ascii="Arial" w:cs="Arial" w:eastAsia="Arial" w:hAnsi="Arial"/>
          <w:b w:val="1"/>
          <w:i w:val="1"/>
          <w:sz w:val="24"/>
          <w:szCs w:val="24"/>
        </w:rPr>
      </w:pPr>
      <w:r w:rsidDel="00000000" w:rsidR="00000000" w:rsidRPr="00000000">
        <w:rPr>
          <w:rtl w:val="0"/>
        </w:rPr>
      </w:r>
    </w:p>
    <w:tbl>
      <w:tblPr>
        <w:tblStyle w:val="Table1"/>
        <w:tblW w:w="96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08"/>
        <w:gridCol w:w="4808"/>
        <w:tblGridChange w:id="0">
          <w:tblGrid>
            <w:gridCol w:w="4808"/>
            <w:gridCol w:w="4808"/>
          </w:tblGrid>
        </w:tblGridChange>
      </w:tblGrid>
      <w:tr>
        <w:trPr>
          <w:cantSplit w:val="0"/>
          <w:tblHeader w:val="0"/>
        </w:trPr>
        <w:tc>
          <w:tcPr/>
          <w:p w:rsidR="00000000" w:rsidDel="00000000" w:rsidP="00000000" w:rsidRDefault="00000000" w:rsidRPr="00000000" w14:paraId="00000004">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г. Москва</w:t>
            </w:r>
          </w:p>
        </w:tc>
        <w:tc>
          <w:tcPr/>
          <w:p w:rsidR="00000000" w:rsidDel="00000000" w:rsidP="00000000" w:rsidRDefault="00000000" w:rsidRPr="00000000" w14:paraId="00000005">
            <w:pPr>
              <w:spacing w:after="120" w:before="12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 февраля 2025 года</w:t>
            </w:r>
          </w:p>
        </w:tc>
      </w:tr>
    </w:tbl>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Настоящим Сервис «Бартерон», в дальнейшем именуемое «</w:t>
      </w:r>
      <w:r w:rsidDel="00000000" w:rsidR="00000000" w:rsidRPr="00000000">
        <w:rPr>
          <w:rFonts w:ascii="Arial" w:cs="Arial" w:eastAsia="Arial" w:hAnsi="Arial"/>
          <w:b w:val="1"/>
          <w:sz w:val="24"/>
          <w:szCs w:val="24"/>
          <w:rtl w:val="0"/>
        </w:rPr>
        <w:t xml:space="preserve">Оператор»</w:t>
      </w:r>
      <w:r w:rsidDel="00000000" w:rsidR="00000000" w:rsidRPr="00000000">
        <w:rPr>
          <w:rFonts w:ascii="Arial" w:cs="Arial" w:eastAsia="Arial" w:hAnsi="Arial"/>
          <w:sz w:val="24"/>
          <w:szCs w:val="24"/>
          <w:rtl w:val="0"/>
        </w:rPr>
        <w:t xml:space="preserve">, предоставляет публичную оферту на заключение Пользовательского соглашения по использованию Сервиса «Бартерон», разработанного Оператором.</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Адресатом публичной оферты является физическое или юридическое лицо, использующее Сервис «Бартерон». Адресат публичной оферты в дальнейшем именуется </w:t>
      </w:r>
      <w:r w:rsidDel="00000000" w:rsidR="00000000" w:rsidRPr="00000000">
        <w:rPr>
          <w:rFonts w:ascii="Arial" w:cs="Arial" w:eastAsia="Arial" w:hAnsi="Arial"/>
          <w:b w:val="1"/>
          <w:sz w:val="24"/>
          <w:szCs w:val="24"/>
          <w:rtl w:val="0"/>
        </w:rPr>
        <w:t xml:space="preserve">«Пользователь»</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Пользователь акцептует Оферту посредством совершения одного из следующих действий:</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регистрация в Сервисе «Бартерон»;</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авторизация в Личном кабинете посредством ввода логина и пароля;</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использования Сервиса «Бартерон».</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Акцепт Оферты приводит к заключению Пользовательского соглашения по использованию Сервиса «Бартерон». Во избежание сомнений Оператор заявляет, что отказ Пользователя от акцепта Оферты (в том числе путем предложения Оператору иных условий, нежели те, что изложены в Оферте) приводит к отказу Оператора предоставлять Пользователю услуги по использованию Сервиса «Бартерон».</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Акцепт Оферты означает, что Пользователь соглашается с использованием Сервиса «Бартерон» на следующих условиях.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ТЕРМИНЫ И ОПРЕДЕЛЕНИЯ</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В Оферте следующие термины и определения, написанные с заглавной буквы, имеют следующее значение:</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Личный кабинет </w:t>
      </w:r>
      <w:r w:rsidDel="00000000" w:rsidR="00000000" w:rsidRPr="00000000">
        <w:rPr>
          <w:rFonts w:ascii="Arial" w:cs="Arial" w:eastAsia="Arial" w:hAnsi="Arial"/>
          <w:sz w:val="24"/>
          <w:szCs w:val="24"/>
          <w:rtl w:val="0"/>
        </w:rPr>
        <w:t xml:space="preserve">– персональный раздел Пользователя Сервиса «Бартерон», в котором содержится Персональная информация о товарах и заказах.</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Мобильное приложение </w:t>
      </w:r>
      <w:r w:rsidDel="00000000" w:rsidR="00000000" w:rsidRPr="00000000">
        <w:rPr>
          <w:rFonts w:ascii="Arial" w:cs="Arial" w:eastAsia="Arial" w:hAnsi="Arial"/>
          <w:sz w:val="24"/>
          <w:szCs w:val="24"/>
          <w:rtl w:val="0"/>
        </w:rPr>
        <w:t xml:space="preserve">– программа для мобильных устройств, обеспечивающая доступ Пользователей сервиса к Сервису «Бартерон».</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Пользователь сервиса </w:t>
      </w:r>
      <w:r w:rsidDel="00000000" w:rsidR="00000000" w:rsidRPr="00000000">
        <w:rPr>
          <w:rFonts w:ascii="Arial" w:cs="Arial" w:eastAsia="Arial" w:hAnsi="Arial"/>
          <w:sz w:val="24"/>
          <w:szCs w:val="24"/>
          <w:rtl w:val="0"/>
        </w:rPr>
        <w:t xml:space="preserve">– Клиент, использующий Сервис «Бартерон».</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Сайт </w:t>
      </w:r>
      <w:r w:rsidDel="00000000" w:rsidR="00000000" w:rsidRPr="00000000">
        <w:rPr>
          <w:rFonts w:ascii="Arial" w:cs="Arial" w:eastAsia="Arial" w:hAnsi="Arial"/>
          <w:sz w:val="24"/>
          <w:szCs w:val="24"/>
          <w:rtl w:val="0"/>
        </w:rPr>
        <w:t xml:space="preserve">– совокупность страниц в сети «Интернет», обеспечивающая доступ Пользователя сервиса к Сервису «Бартерон».</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Сервис «Бартерон»</w:t>
      </w:r>
      <w:r w:rsidDel="00000000" w:rsidR="00000000" w:rsidRPr="00000000">
        <w:rPr>
          <w:rFonts w:ascii="Arial" w:cs="Arial" w:eastAsia="Arial" w:hAnsi="Arial"/>
          <w:sz w:val="24"/>
          <w:szCs w:val="24"/>
          <w:rtl w:val="0"/>
        </w:rPr>
        <w:t xml:space="preserve"> – программно-аппаратный комплекс, доступ к которому обеспечивается функциональностью Сайта и/или Мобильного приложения, посредством которого Пользователь сервиса получает возможность обменивать товары на другие товары или иное имущество, заключая соответствующие соглашения с другими Пользователями сервиса.</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Под «иным имуществом» здесь и далее понимаются любые объекты гражданских прав по смыслу применимого права, в том числе, но не исключая:</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вещи;</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безналичные денежные средства;</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наличные деньги;</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цифровые права;</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криптовалюта и иная цифровая валюта;</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результаты работ и оказания услуг.</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ПРАВИЛА ТОЛКОВАНИЯ </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Любое толкование положений Пользовательского соглашения и Оферты должно быть направлено на сохранение их в силе. Так, в случае сомнений любое положение Пользовательского соглашения и Оферты должно рассматриваться как действительное.</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недействительности отдельного положения Пользовательское соглашение и Оферта сохраняет свое действие в оставшейся части, если только не будет особо доказано, что без недействительной части Пользовательское соглашение или Оферта не могут продолжить действие.</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положение Пользовательского соглашения или Оферты оказывается недействительным в какой-либо части, то оно автоматически (без отдельных согласований) изменяется до приемлемых параметров.</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ОСНОВНЫЕ ПОЛОЖЕНИЯ</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 Пользовательскому соглашению Оператор предоставляет Пользователю сервиса доступ к Сервису «Бартерон», а именно:</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1418"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Предоставляет Пользователям сервиса возможность зарегистрировать свой профиль и внести туда необходимую для использования функционала Сервиса «Бартерон» информацию (в том числе информацию о товарах, которые Пользователь сервиса планирует обменять на другие товары или иное имущество, их характеристиках, стоимости);</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1418"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Предоставляет Пользователю сервиса возможность использовать Личный кабинет через Мобильное приложение, изменять информацию о товарах, отслеживать отзывы Пользователей сервиса;</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1418"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Позволяет Пользователю сервиса взаимодействовать с другими Пользователями сервиса по поводу заключения договоров мены одних товаров на другие товары или иное имущество, как с использованием рекомендуемой формы, так и без нее.</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1418"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Позволяет Пользователю сервиса в любой момент обменять иное имущество на товар, размещенный в Сервисе «Бартерон». Ценность обмениваемого иного имущества определяется Сервисом «Бартерон».</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Доступ в Личный кабинет осуществляется посредством ввода логина и пароля. Пользователь сервиса может в любой момент изменить логин и пароль посредством внесения соответствующих изменений в Личном кабинете.</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Оператор вправе в любое время проводить плановые и внеплановые профилактические работы, для чего временно приостанавливать работу Сервиса «Бартерон».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соглашается с тем, что Сервис «Бартерон» используется исключительно для обеспечения информационно-технологического взаимодействия между Пользователями сервиса. Непосредственное заключение договоров мены и их исполнение, передача товаров, доставка, перевозка осуществляется Пользователями сервиса самостоятельно и вне Сервиса «Бартерон». Оператор не несет ответственности за исполнение Пользователями сервиса своих обязательств по заключенным договорам (в том числе если они заключаются по рекомендованной Сервисом «Бартерон» форме), за выявленные в товарах недостатки, за недостоверное описание и за любые другие обстоятельства.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соглашается, что он и только он несет полную материальную и нематериальную ответственность за свои действия, в том числе за выбор контрагента и за заключение договоров. Все риски, связанные с договорами, заключаемыми между Пользователями сервиса, лежат на них самих.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обязуется предоставлять актуальную и достоверную информацию при регистрации, а также поддерживать актуальность и достоверность информации на протяжении всего времени использования Сервиса «Бартерон».</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обязуется при использовании Сервиса «Бартерон» указывать достоверную информацию и самостоятельно контролирует корректность платежных данных, в том числе данные криптовалютных кошельков, адреса доставки и иные необходимые данные. </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самостоятельно осуществляет действия в рамках функционала Сервиса «Бартерон» и несет риски неполучения товара или иного имущества от других Пользователей сервиса. </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вправе обратиться в техническую поддержку Оператора для получения консультаций по работе Сервиса «Бартерон» по адресу электронной почты support@bastyon.com.</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гарантирует Оператору использование Сервиса «Бартерон» только в личных целях, соответствующих целям использования Сервиса «Бартерон» в соответствии с положениями Пользовательского соглашения.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ФИНАСОВЫЕ УСЛОВИЯ</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Условия заключенных Пользователями сервиса договоров по обмену товара на товар или на иное имущество определяются договором между ними. Сервис «Бартерон» предоставляет Пользователям сервиса возможность использовать рекомендуемую форму договора мены. Однако Пользователи сервиса могут заключить договор мены на собственных условиях и вносить любые корректировки.</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Заключение договора мены происходит вне Сервиса «Бартерон». Порядок заключения договора мены и обмена документами выбирается Пользователями сервиса самостоятельно. </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Пользователи сервиса самостоятельно исполняют налоговые и иные публичные обязательства, возникающие в связи с использованием Сервиса «Бартерон».</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обязуется возместить Оператору в полном объеме имущественные потери, возникшие в связи с нецелевым использованием Пользователем сервиса Сервиса «Бартерон». </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Оператор не отвечает за действия лиц, которые обеспечивают доступ Пользователя сервиса к товарам и иному имуществу. Оператор не отвечает за случаи, когда товары или иное имущество не поступили к Пользователю сервиса.</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ОТВЕТСТВЕННОСТЬ СТОРОН</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Совокупный размер ответственности Оператора по Пользовательскому соглашению по любому иску или претензии в отношении Пользовательского соглашения или его исполнения, ограничивается реальным ущербом, который находится в прямой причинно-следственной связи с действиями Оператора. При этом во всяком случае Оператор отвечает только за умышленное нарушение обязательств по Пользовательскому соглашению. </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этом Оператор в любом случае не несет ответственности за упущенную выгоду Пользователя сервиса.</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Оператор не несет ответственности за такие убытки Пользователя сервиса, которые возникли по обстоятельствам, за которые Оператор не отвечает (в том числе в результате действий третьих лиц, которые не являются контрагентами Оператора или дефекта оборудования, которое не принадлежит Оператору).</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Оператор не несет ответственности за убытки Пользователя сервиса, если они возникли в связи с его неосторожностью или умыслом последнего. </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случае возникновения обстоятельств непреодолимой силы (форс-мажорных обстоятельств), к которым относятся: стихийные бедствия, аварии, пожары, массовые беспорядки, забастовки, военные действия, противоправные действия третьих лиц, вступление в силу законодательных актов, правительственных постановлении и распоряжений государственных органов, прямо или косвенно запрещающих указанные в Пользовательском соглашении виды деятельности, препятствующие осуществлению Оператором своих функции по Пользовательскому соглашению, Оператор освобождается от ответственности за неисполнение взятых на себя обязательств, если в течение 10 дней с момента наступления таких обстоятельств и при наличии связи Оператор доведет до сведения Пользователя сервиса информацию об обстоятельствах непреодолимой силы, а также предпримет все усилия для скорейшей ликвидации последствий форс-мажорных обстоятельств.</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СРОК И ПРЕКРАЩЕНИЕ ПОЛЬЗОВАТЕЛЬСКОГО СОГЛАШЕНИЯ</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Пользовательское соглашение заключается без установления срока. </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Пользователь сервиса может в любой момент отказаться от Пользовательского соглашения. Отказ от Пользовательского соглашения может быть осуществлен путем: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удаления Личного кабинета посредством выбора соответствующее опции в Личном кабинете;</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направления Оператору заявления в форме электронного документа по адресу электронной почты: </w:t>
      </w:r>
      <w:r w:rsidDel="00000000" w:rsidR="00000000" w:rsidRPr="00000000">
        <w:rPr>
          <w:rFonts w:ascii="Arial" w:cs="Arial" w:eastAsia="Arial" w:hAnsi="Arial"/>
          <w:sz w:val="24"/>
          <w:szCs w:val="24"/>
          <w:rtl w:val="0"/>
        </w:rPr>
        <w:t xml:space="preserve">support@bastyon.com;</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Оператор может в одностороннем порядке отказаться от Пользовательского соглашения или от его повторного заключения с Пользователем сервиса в случае нарушения Пользователем сервиса условий Пользовательского соглашения. </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Прекращение Пользовательского соглашения не лишает Пользователя сервиса возможности заключить Пользовательское соглашение вновь. </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Оператор приостанавливает доступ Пользователя сервиса к Сервису «Бартерон», то после устранения Пользователем сервиса нарушений, которые привели к приостановлению доступа, Оператор обязан восстановить доступ Пользователя сервиса к Сервису «Бартерон» в течение 5 рабочих дней с момента поступления информации об устранении нарушения. </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Оператор может в любой момент прекратить функционирование Сервиса «Бартерон». Прекращение функционирования Сервиса «Бартерон» приводит к прекращению обязательств из Пользовательского соглашения на основании ст. 416 ГК РФ. Если Оператор примет решение о прекращении функционирования Сервиса «Бартерон», то он обязан уведомить о готовящемся прекращении функционирования Сервиса «Бартерон» за 7 дней до такого прекращения.</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Стороны вправе расторгнуть Пользовательское соглашение в случаях, установленных законодательством Российской Федерации. </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Прекращение действия Пользовательского соглашения означает прекращения возможности доступа Пользователя сервиса к Сервису «Бартерон».</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РАЗРЕШЕНИЕ СПОРОВ</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Стороны договариваются, что при возникновении споров на основании Пользовательского соглашения, они обязуются разрешать их путем переговоров. В случае недостижения согласия по спорным вопросам, споры разрешаются в судебном порядке по общим правилам подсудности.</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Пользователя сервиса Пользовательским соглашением предусмотрен обязательный претензионный порядок. Оператор принимает вопросы и претензии Пользователя сервиса, связанные с функционированием Сервиса «Бартерон» на адрес электронной почты: </w:t>
      </w:r>
      <w:r w:rsidDel="00000000" w:rsidR="00000000" w:rsidRPr="00000000">
        <w:rPr>
          <w:rFonts w:ascii="Arial" w:cs="Arial" w:eastAsia="Arial" w:hAnsi="Arial"/>
          <w:sz w:val="24"/>
          <w:szCs w:val="24"/>
          <w:rtl w:val="0"/>
        </w:rPr>
        <w:t xml:space="preserve">support@bastyon.com.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Срок рассмотрения претензии и направления ответа составляет 30 дней.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ЗАКЛЮЧИТЕЛЬНЫЕ ПОЛОЖЕНИЯ</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Во всем, что не урегулировано Пользовательским соглашением, Стороны руководствуются действующим законодательством РФ.</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Доставка всех извещений и уведомлений, связанных с исполнением Пользовательского соглашения, осуществляется Оператором путем направления соответствующего уведомления в личном кабинете;</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 исключением случаев, установленных Пользовательским соглашением, Пользователь сервиса направляет Оператору сообщения и уведомления по адресу электронной почты: </w:t>
      </w:r>
      <w:r w:rsidDel="00000000" w:rsidR="00000000" w:rsidRPr="00000000">
        <w:rPr>
          <w:rFonts w:ascii="Arial" w:cs="Arial" w:eastAsia="Arial" w:hAnsi="Arial"/>
          <w:sz w:val="24"/>
          <w:szCs w:val="24"/>
          <w:rtl w:val="0"/>
        </w:rPr>
        <w:t xml:space="preserve">support@bastyon.com.</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6837" w:w="11905" w:orient="portrait"/>
      <w:pgMar w:bottom="1440" w:top="1440" w:left="1440" w:right="83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Страница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из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color w:val="000000"/>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ru-RU"/>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AE4B9C"/>
    <w:pPr>
      <w:tabs>
        <w:tab w:val="center" w:pos="4677"/>
        <w:tab w:val="right" w:pos="9355"/>
      </w:tabs>
      <w:spacing w:after="0" w:before="0" w:line="240" w:lineRule="auto"/>
    </w:pPr>
  </w:style>
  <w:style w:type="character" w:styleId="a4" w:customStyle="1">
    <w:name w:val="Верхний колонтитул Знак"/>
    <w:basedOn w:val="a0"/>
    <w:link w:val="a3"/>
    <w:uiPriority w:val="99"/>
    <w:rsid w:val="00AE4B9C"/>
  </w:style>
  <w:style w:type="paragraph" w:styleId="a5">
    <w:name w:val="footer"/>
    <w:basedOn w:val="a"/>
    <w:link w:val="a6"/>
    <w:uiPriority w:val="99"/>
    <w:unhideWhenUsed w:val="1"/>
    <w:rsid w:val="00AE4B9C"/>
    <w:pPr>
      <w:tabs>
        <w:tab w:val="center" w:pos="4677"/>
        <w:tab w:val="right" w:pos="9355"/>
      </w:tabs>
      <w:spacing w:after="0" w:before="0" w:line="240" w:lineRule="auto"/>
    </w:pPr>
  </w:style>
  <w:style w:type="character" w:styleId="a6" w:customStyle="1">
    <w:name w:val="Нижний колонтитул Знак"/>
    <w:basedOn w:val="a0"/>
    <w:link w:val="a5"/>
    <w:uiPriority w:val="99"/>
    <w:rsid w:val="00AE4B9C"/>
  </w:style>
  <w:style w:type="paragraph" w:styleId="a7">
    <w:name w:val="List Paragraph"/>
    <w:basedOn w:val="a"/>
    <w:link w:val="a8"/>
    <w:uiPriority w:val="34"/>
    <w:qFormat w:val="1"/>
    <w:rsid w:val="007A4CFC"/>
    <w:pPr>
      <w:ind w:left="720"/>
      <w:contextualSpacing w:val="1"/>
    </w:pPr>
  </w:style>
  <w:style w:type="table" w:styleId="a9">
    <w:name w:val="Table Grid"/>
    <w:basedOn w:val="a1"/>
    <w:uiPriority w:val="39"/>
    <w:rsid w:val="005E509D"/>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a">
    <w:name w:val="Hyperlink"/>
    <w:basedOn w:val="a0"/>
    <w:uiPriority w:val="99"/>
    <w:unhideWhenUsed w:val="1"/>
    <w:rsid w:val="00E4263A"/>
    <w:rPr>
      <w:color w:val="0563c1" w:themeColor="hyperlink"/>
      <w:u w:val="single"/>
    </w:rPr>
  </w:style>
  <w:style w:type="character" w:styleId="ab">
    <w:name w:val="Unresolved Mention"/>
    <w:basedOn w:val="a0"/>
    <w:uiPriority w:val="99"/>
    <w:semiHidden w:val="1"/>
    <w:unhideWhenUsed w:val="1"/>
    <w:rsid w:val="00E4263A"/>
    <w:rPr>
      <w:color w:val="605e5c"/>
      <w:shd w:color="auto" w:fill="e1dfdd" w:val="clear"/>
    </w:rPr>
  </w:style>
  <w:style w:type="paragraph" w:styleId="ac">
    <w:name w:val="Revision"/>
    <w:hidden w:val="1"/>
    <w:uiPriority w:val="99"/>
    <w:semiHidden w:val="1"/>
    <w:rsid w:val="000D37FE"/>
    <w:pPr>
      <w:spacing w:after="0" w:before="0" w:line="240" w:lineRule="auto"/>
      <w:jc w:val="left"/>
    </w:pPr>
  </w:style>
  <w:style w:type="character" w:styleId="ad">
    <w:name w:val="annotation reference"/>
    <w:basedOn w:val="a0"/>
    <w:uiPriority w:val="99"/>
    <w:semiHidden w:val="1"/>
    <w:unhideWhenUsed w:val="1"/>
    <w:rsid w:val="00666EE5"/>
    <w:rPr>
      <w:sz w:val="16"/>
      <w:szCs w:val="16"/>
    </w:rPr>
  </w:style>
  <w:style w:type="paragraph" w:styleId="ae">
    <w:name w:val="annotation text"/>
    <w:basedOn w:val="a"/>
    <w:link w:val="af"/>
    <w:uiPriority w:val="99"/>
    <w:semiHidden w:val="1"/>
    <w:unhideWhenUsed w:val="1"/>
    <w:rsid w:val="00666EE5"/>
    <w:pPr>
      <w:spacing w:line="240" w:lineRule="auto"/>
    </w:pPr>
    <w:rPr>
      <w:sz w:val="20"/>
      <w:szCs w:val="20"/>
    </w:rPr>
  </w:style>
  <w:style w:type="character" w:styleId="af" w:customStyle="1">
    <w:name w:val="Текст примечания Знак"/>
    <w:basedOn w:val="a0"/>
    <w:link w:val="ae"/>
    <w:uiPriority w:val="99"/>
    <w:semiHidden w:val="1"/>
    <w:rsid w:val="00666EE5"/>
    <w:rPr>
      <w:sz w:val="20"/>
      <w:szCs w:val="20"/>
    </w:rPr>
  </w:style>
  <w:style w:type="paragraph" w:styleId="af0">
    <w:name w:val="annotation subject"/>
    <w:basedOn w:val="ae"/>
    <w:next w:val="ae"/>
    <w:link w:val="af1"/>
    <w:uiPriority w:val="99"/>
    <w:semiHidden w:val="1"/>
    <w:unhideWhenUsed w:val="1"/>
    <w:rsid w:val="00666EE5"/>
    <w:rPr>
      <w:b w:val="1"/>
      <w:bCs w:val="1"/>
    </w:rPr>
  </w:style>
  <w:style w:type="character" w:styleId="af1" w:customStyle="1">
    <w:name w:val="Тема примечания Знак"/>
    <w:basedOn w:val="af"/>
    <w:link w:val="af0"/>
    <w:uiPriority w:val="99"/>
    <w:semiHidden w:val="1"/>
    <w:rsid w:val="00666EE5"/>
    <w:rPr>
      <w:b w:val="1"/>
      <w:bCs w:val="1"/>
      <w:sz w:val="20"/>
      <w:szCs w:val="20"/>
    </w:rPr>
  </w:style>
  <w:style w:type="character" w:styleId="a8" w:customStyle="1">
    <w:name w:val="Абзац списка Знак"/>
    <w:basedOn w:val="a0"/>
    <w:link w:val="a7"/>
    <w:uiPriority w:val="34"/>
    <w:rsid w:val="0068152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5vVERslJUT/MXhsUYObENlOVmQ==">CgMxLjA4AHIhMXFTUnM0SUlkWnJDZUMtSUNTSTFqQWJ2UU02QXRoNG9X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2025-02-13T09:49:00Z</dcterms:created>
  <dc:creator>Даниил Борейшо</dc:creator>
</cp:coreProperties>
</file>