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C774E" w14:textId="77777777" w:rsidR="00D712C8" w:rsidRPr="006E2517" w:rsidRDefault="00E34564" w:rsidP="00D712C8">
      <w:pPr>
        <w:pStyle w:val="PubliTitle"/>
      </w:pPr>
      <w:bookmarkStart w:id="0" w:name="_Toc332698828"/>
      <w:r w:rsidRPr="006E2517">
        <w:t>Cyber risk in the financial sector</w:t>
      </w:r>
    </w:p>
    <w:p w14:paraId="2D59B3B8" w14:textId="6F632685" w:rsidR="00D712C8" w:rsidRPr="006E2517" w:rsidRDefault="0088268B" w:rsidP="00D712C8">
      <w:pPr>
        <w:pStyle w:val="MeetingTitle"/>
      </w:pPr>
      <w:proofErr w:type="gramStart"/>
      <w:r>
        <w:t>by</w:t>
      </w:r>
      <w:proofErr w:type="gramEnd"/>
      <w:r>
        <w:t xml:space="preserve"> </w:t>
      </w:r>
      <w:proofErr w:type="spellStart"/>
      <w:r w:rsidR="00E12FD0">
        <w:t>Iñaki</w:t>
      </w:r>
      <w:proofErr w:type="spellEnd"/>
      <w:r w:rsidR="00E12FD0">
        <w:t xml:space="preserve"> </w:t>
      </w:r>
      <w:r>
        <w:t>Aldasoro, Jon Frost, Leonardo Gambacorta, Thomas Leach and David Whyte</w:t>
      </w:r>
      <w:r w:rsidRPr="0088268B">
        <w:rPr>
          <w:rStyle w:val="FootnoteReference"/>
        </w:rPr>
        <w:footnoteReference w:customMarkFollows="1" w:id="2"/>
        <w:sym w:font="Symbol" w:char="F02A"/>
      </w:r>
      <w:r w:rsidR="00087500">
        <w:t xml:space="preserve"> </w:t>
      </w:r>
    </w:p>
    <w:bookmarkEnd w:id="0"/>
    <w:p w14:paraId="65505F27" w14:textId="77777777" w:rsidR="008C57A8" w:rsidRDefault="008C57A8" w:rsidP="0088268B">
      <w:pPr>
        <w:pStyle w:val="MeetingTitle"/>
      </w:pPr>
    </w:p>
    <w:p w14:paraId="575F35AE" w14:textId="77777777" w:rsidR="0088268B" w:rsidRPr="0088268B" w:rsidRDefault="0088268B" w:rsidP="0088268B">
      <w:pPr>
        <w:pStyle w:val="MeetingTitle"/>
      </w:pPr>
      <w:proofErr w:type="spellStart"/>
      <w:r w:rsidRPr="0088268B">
        <w:t>Jel</w:t>
      </w:r>
      <w:proofErr w:type="spellEnd"/>
      <w:r w:rsidRPr="0088268B">
        <w:t xml:space="preserve"> codes: D5, D62, D82, G2, H41.</w:t>
      </w:r>
    </w:p>
    <w:p w14:paraId="7A9B3E3B" w14:textId="77777777" w:rsidR="0088268B" w:rsidRDefault="0088268B" w:rsidP="0088268B">
      <w:pPr>
        <w:pStyle w:val="MeetingTitle"/>
      </w:pPr>
      <w:r w:rsidRPr="0088268B">
        <w:t>Keywords: cyber risks, financial institutions, value-at-risk.</w:t>
      </w:r>
    </w:p>
    <w:p w14:paraId="30AF5E76" w14:textId="77777777" w:rsidR="0088268B" w:rsidRDefault="0088268B" w:rsidP="0088268B">
      <w:pPr>
        <w:pStyle w:val="MeetingTitle"/>
      </w:pPr>
    </w:p>
    <w:p w14:paraId="52C7A69D" w14:textId="77777777" w:rsidR="0088268B" w:rsidRPr="008C57A8" w:rsidRDefault="008C57A8" w:rsidP="0088268B">
      <w:pPr>
        <w:pStyle w:val="MeetingTitle"/>
        <w:rPr>
          <w:i/>
        </w:rPr>
      </w:pPr>
      <w:proofErr w:type="spellStart"/>
      <w:r w:rsidRPr="008C57A8">
        <w:rPr>
          <w:i/>
        </w:rPr>
        <w:t>C</w:t>
      </w:r>
      <w:r w:rsidR="00137035" w:rsidRPr="008C57A8">
        <w:rPr>
          <w:i/>
        </w:rPr>
        <w:t>yber attacks</w:t>
      </w:r>
      <w:proofErr w:type="spellEnd"/>
      <w:r w:rsidR="00137035" w:rsidRPr="008C57A8">
        <w:rPr>
          <w:i/>
        </w:rPr>
        <w:t xml:space="preserve"> on financial institutions and financial market infrastructures have become more frequent and sophisticated, prompting ever-larger investments and efforts.</w:t>
      </w:r>
      <w:r w:rsidRPr="008C57A8">
        <w:rPr>
          <w:i/>
        </w:rPr>
        <w:t xml:space="preserve"> This note explores causes, considers the specific vulnerabilities of the financial sector, examines costs and financial stability implications and outlines possible policy responses. International cooperation is key, as authorities face similar issues and cyber resilience is, fundamentally, a global public good</w:t>
      </w:r>
      <w:r>
        <w:rPr>
          <w:i/>
        </w:rPr>
        <w:t>.</w:t>
      </w:r>
    </w:p>
    <w:p w14:paraId="504FB564" w14:textId="77777777" w:rsidR="0088268B" w:rsidRPr="006E2517" w:rsidRDefault="0088268B" w:rsidP="0088268B">
      <w:pPr>
        <w:pStyle w:val="IndentedHeading1"/>
      </w:pPr>
      <w:r w:rsidRPr="006E2517">
        <w:rPr>
          <w:noProof/>
        </w:rPr>
        <w:t>1.</w:t>
      </w:r>
      <w:r w:rsidRPr="006E2517">
        <w:tab/>
      </w:r>
      <w:r>
        <w:t>Introduction</w:t>
      </w:r>
    </w:p>
    <w:p w14:paraId="1CEEADCC" w14:textId="1E7B5C21" w:rsidR="00E34564" w:rsidRPr="006E2517" w:rsidRDefault="00E34564" w:rsidP="001908F9">
      <w:pPr>
        <w:spacing w:after="160" w:line="259" w:lineRule="auto"/>
        <w:jc w:val="both"/>
      </w:pPr>
      <w:r w:rsidRPr="006E2517">
        <w:t xml:space="preserve">The financial sector has long been </w:t>
      </w:r>
      <w:r w:rsidR="009839BA">
        <w:t>spearheading</w:t>
      </w:r>
      <w:r w:rsidR="00BA60CE" w:rsidRPr="006E2517">
        <w:t xml:space="preserve"> </w:t>
      </w:r>
      <w:r w:rsidRPr="006E2517">
        <w:t>cyber</w:t>
      </w:r>
      <w:r w:rsidR="002F4155" w:rsidRPr="006E2517">
        <w:t xml:space="preserve"> </w:t>
      </w:r>
      <w:r w:rsidRPr="006E2517">
        <w:t>security</w:t>
      </w:r>
      <w:r w:rsidR="009839BA">
        <w:t xml:space="preserve"> enhancements</w:t>
      </w:r>
      <w:r w:rsidRPr="006E2517">
        <w:t xml:space="preserve">, with </w:t>
      </w:r>
      <w:r w:rsidR="00971462">
        <w:t>many</w:t>
      </w:r>
      <w:r w:rsidR="00971462" w:rsidRPr="006E2517">
        <w:t xml:space="preserve"> </w:t>
      </w:r>
      <w:r w:rsidRPr="006E2517">
        <w:t xml:space="preserve">regulatory and industry-wide initiatives. </w:t>
      </w:r>
      <w:r w:rsidR="00255F6A" w:rsidRPr="006E2517">
        <w:t xml:space="preserve">However, </w:t>
      </w:r>
      <w:proofErr w:type="spellStart"/>
      <w:r w:rsidR="00255F6A" w:rsidRPr="006E2517">
        <w:t>c</w:t>
      </w:r>
      <w:r w:rsidRPr="006E2517">
        <w:t>yber</w:t>
      </w:r>
      <w:r w:rsidR="002F4155" w:rsidRPr="006E2517">
        <w:t xml:space="preserve"> </w:t>
      </w:r>
      <w:r w:rsidRPr="006E2517">
        <w:t>attacks</w:t>
      </w:r>
      <w:proofErr w:type="spellEnd"/>
      <w:r w:rsidRPr="006E2517">
        <w:t xml:space="preserve"> on financial institutions and financial market infrastructures (FMIs) have become more frequent and sophisticated, prompting ever-larger investments and </w:t>
      </w:r>
      <w:r w:rsidR="00971462">
        <w:t>efforts</w:t>
      </w:r>
      <w:r w:rsidRPr="006E2517">
        <w:t xml:space="preserve">. In parallel, </w:t>
      </w:r>
      <w:r w:rsidR="00BA60CE" w:rsidRPr="006E2517">
        <w:t>financial institutions</w:t>
      </w:r>
      <w:r w:rsidRPr="006E2517">
        <w:t xml:space="preserve">, regulators, national governments </w:t>
      </w:r>
      <w:r w:rsidR="00BA60CE" w:rsidRPr="006E2517">
        <w:t xml:space="preserve">and international groups </w:t>
      </w:r>
      <w:r w:rsidRPr="006E2517">
        <w:t>have been working to improve overall operational resilienc</w:t>
      </w:r>
      <w:r w:rsidR="005B5EE8" w:rsidRPr="006E2517">
        <w:t>e</w:t>
      </w:r>
      <w:r w:rsidRPr="006E2517">
        <w:t xml:space="preserve"> and ensure financial stability.</w:t>
      </w:r>
      <w:r w:rsidR="0075297C">
        <w:t xml:space="preserve"> </w:t>
      </w:r>
      <w:r w:rsidR="005C2780">
        <w:t xml:space="preserve">The threat landscape has evolved further since the outbreak of the </w:t>
      </w:r>
      <w:r w:rsidR="0075297C">
        <w:t xml:space="preserve">Covid-19 pandemic, </w:t>
      </w:r>
      <w:r w:rsidR="005C2780">
        <w:t>not least due</w:t>
      </w:r>
      <w:r w:rsidR="0045331C">
        <w:t xml:space="preserve"> to</w:t>
      </w:r>
      <w:r w:rsidR="005C2780">
        <w:t xml:space="preserve"> the higher prevalence of work-from-home </w:t>
      </w:r>
      <w:r w:rsidR="00572B4B">
        <w:t xml:space="preserve">(WFH) </w:t>
      </w:r>
      <w:r w:rsidR="005C2780">
        <w:t xml:space="preserve">arrangements and </w:t>
      </w:r>
      <w:r w:rsidR="004F40DA">
        <w:t xml:space="preserve">the </w:t>
      </w:r>
      <w:r w:rsidR="005C2780">
        <w:t>associated demands on IT systems</w:t>
      </w:r>
      <w:r w:rsidR="00AC1868">
        <w:t>.</w:t>
      </w:r>
    </w:p>
    <w:p w14:paraId="0B8E373D" w14:textId="6ACB0414" w:rsidR="00D712C8" w:rsidRPr="006E2517" w:rsidRDefault="00D712C8" w:rsidP="001908F9">
      <w:pPr>
        <w:spacing w:after="160" w:line="259" w:lineRule="auto"/>
        <w:jc w:val="both"/>
      </w:pPr>
      <w:r w:rsidRPr="006E2517">
        <w:t xml:space="preserve">This note </w:t>
      </w:r>
      <w:r w:rsidR="009839BA">
        <w:t>offers</w:t>
      </w:r>
      <w:r w:rsidR="00514FD0">
        <w:t xml:space="preserve"> a taxonomy </w:t>
      </w:r>
      <w:r w:rsidR="00C10DBC">
        <w:t>o</w:t>
      </w:r>
      <w:r w:rsidR="00514FD0">
        <w:t>f cyber incidents</w:t>
      </w:r>
      <w:r w:rsidR="0006578C">
        <w:t>. It</w:t>
      </w:r>
      <w:r w:rsidR="00514FD0">
        <w:t xml:space="preserve"> explores causes, considers the </w:t>
      </w:r>
      <w:r w:rsidR="004F40DA">
        <w:t xml:space="preserve">specific vulnerabilities </w:t>
      </w:r>
      <w:r w:rsidR="00514FD0">
        <w:t xml:space="preserve">of the financial sector, examines costs and financial stability implications and </w:t>
      </w:r>
      <w:r w:rsidR="00C10DBC">
        <w:t>outlines</w:t>
      </w:r>
      <w:r w:rsidR="00514FD0">
        <w:t xml:space="preserve"> possible policy responses. </w:t>
      </w:r>
      <w:r w:rsidR="00BA60CE" w:rsidRPr="006E2517">
        <w:t xml:space="preserve">International cooperation is key, </w:t>
      </w:r>
      <w:r w:rsidR="0075297C">
        <w:t>as</w:t>
      </w:r>
      <w:r w:rsidR="0075297C" w:rsidRPr="006E2517">
        <w:t xml:space="preserve"> </w:t>
      </w:r>
      <w:r w:rsidR="00BA60CE" w:rsidRPr="006E2517">
        <w:t>authorities face similar issues and cyber resilience is, fundamentally, a global public good</w:t>
      </w:r>
      <w:r w:rsidR="009F108B">
        <w:t xml:space="preserve"> (Carstens, 2019; </w:t>
      </w:r>
      <w:proofErr w:type="spellStart"/>
      <w:r w:rsidR="009F108B">
        <w:t>C</w:t>
      </w:r>
      <w:r w:rsidR="00613715" w:rsidRPr="00613715">
        <w:t>œ</w:t>
      </w:r>
      <w:r w:rsidR="009F108B">
        <w:t>ur</w:t>
      </w:r>
      <w:r w:rsidR="00613715">
        <w:t>é</w:t>
      </w:r>
      <w:proofErr w:type="spellEnd"/>
      <w:r w:rsidR="009F108B">
        <w:t>, 2019)</w:t>
      </w:r>
      <w:r w:rsidR="00BA60CE" w:rsidRPr="006E2517">
        <w:t>.</w:t>
      </w:r>
    </w:p>
    <w:p w14:paraId="69E9E79D" w14:textId="77777777" w:rsidR="00D712C8" w:rsidRPr="006E2517" w:rsidRDefault="0088268B" w:rsidP="00D712C8">
      <w:pPr>
        <w:pStyle w:val="IndentedHeading1"/>
        <w:rPr>
          <w:noProof/>
        </w:rPr>
      </w:pPr>
      <w:r>
        <w:rPr>
          <w:noProof/>
        </w:rPr>
        <w:t>2</w:t>
      </w:r>
      <w:r w:rsidR="00D712C8" w:rsidRPr="006E2517">
        <w:rPr>
          <w:noProof/>
        </w:rPr>
        <w:t>.</w:t>
      </w:r>
      <w:r w:rsidR="00723262" w:rsidRPr="006E2517">
        <w:rPr>
          <w:noProof/>
        </w:rPr>
        <w:tab/>
      </w:r>
      <w:r w:rsidR="003A2249">
        <w:rPr>
          <w:noProof/>
        </w:rPr>
        <w:t>C</w:t>
      </w:r>
      <w:r w:rsidR="00E34564" w:rsidRPr="006E2517">
        <w:rPr>
          <w:noProof/>
        </w:rPr>
        <w:t>yber risk</w:t>
      </w:r>
      <w:r w:rsidR="003A2249">
        <w:rPr>
          <w:noProof/>
        </w:rPr>
        <w:t>: taxonomy and specificity</w:t>
      </w:r>
    </w:p>
    <w:p w14:paraId="320813F0" w14:textId="72EF6E4E" w:rsidR="001908F9" w:rsidRDefault="00137035" w:rsidP="001908F9">
      <w:pPr>
        <w:spacing w:after="360" w:line="259" w:lineRule="auto"/>
        <w:jc w:val="both"/>
      </w:pPr>
      <w:r>
        <w:t xml:space="preserve">Cyber risk is receiving growing attention. </w:t>
      </w:r>
      <w:r w:rsidRPr="00137035">
        <w:t>Graph 1 reports the number of online searches for “cyber risk” over the last decade and compares it with that for “operational risk”. Despite the fact that cyber risk is only a subset of a firm’s operational risk, worldwide search interest for the two terms is today almost on a par.</w:t>
      </w:r>
      <w:r w:rsidRPr="00137035" w:rsidDel="00021BEC">
        <w:t xml:space="preserve"> </w:t>
      </w:r>
      <w:r w:rsidR="00270FA1" w:rsidRPr="006E2517">
        <w:t xml:space="preserve">Despite growing </w:t>
      </w:r>
      <w:r w:rsidR="00BA60CE" w:rsidRPr="006E2517">
        <w:t xml:space="preserve">public </w:t>
      </w:r>
      <w:r w:rsidR="00D21FC2" w:rsidRPr="006E2517">
        <w:t xml:space="preserve">concerns </w:t>
      </w:r>
      <w:r w:rsidR="00C85764">
        <w:t>about</w:t>
      </w:r>
      <w:r w:rsidR="00C85764" w:rsidRPr="006E2517">
        <w:t xml:space="preserve"> </w:t>
      </w:r>
      <w:r w:rsidR="00FD3BF2" w:rsidRPr="006E2517">
        <w:t>cyber risk</w:t>
      </w:r>
      <w:r w:rsidR="00270FA1" w:rsidRPr="006E2517">
        <w:t>, t</w:t>
      </w:r>
      <w:r w:rsidR="00A125DC" w:rsidRPr="006E2517">
        <w:t xml:space="preserve">here is </w:t>
      </w:r>
      <w:r w:rsidR="00270FA1" w:rsidRPr="006E2517">
        <w:t xml:space="preserve">still </w:t>
      </w:r>
      <w:r w:rsidR="00A125DC" w:rsidRPr="006E2517">
        <w:t>no commonly agreed definition.</w:t>
      </w:r>
      <w:r w:rsidR="00534AFF" w:rsidRPr="006E2517">
        <w:rPr>
          <w:rStyle w:val="FootnoteReference"/>
        </w:rPr>
        <w:footnoteReference w:id="3"/>
      </w:r>
      <w:r w:rsidR="00FE51EA" w:rsidRPr="006E2517">
        <w:t>  </w:t>
      </w:r>
      <w:r w:rsidR="00056622" w:rsidRPr="006E2517">
        <w:t xml:space="preserve">Broadly speaking, </w:t>
      </w:r>
      <w:r w:rsidR="00610183" w:rsidRPr="006E2517" w:rsidDel="004301C7">
        <w:t>c</w:t>
      </w:r>
      <w:r w:rsidR="00A125DC" w:rsidRPr="006E2517" w:rsidDel="004301C7">
        <w:t xml:space="preserve">yber risk </w:t>
      </w:r>
      <w:r w:rsidR="00A125DC" w:rsidRPr="006E2517">
        <w:t xml:space="preserve">is understood </w:t>
      </w:r>
      <w:r w:rsidR="004F40DA">
        <w:t>to be</w:t>
      </w:r>
      <w:r w:rsidR="004F40DA" w:rsidRPr="006E2517">
        <w:t xml:space="preserve"> </w:t>
      </w:r>
      <w:r w:rsidR="00A125DC" w:rsidRPr="006E2517">
        <w:t xml:space="preserve">the risk of financial loss, </w:t>
      </w:r>
      <w:r w:rsidR="00A125DC" w:rsidRPr="006E2517">
        <w:lastRenderedPageBreak/>
        <w:t>disruption or reputational damage resulting from the failure of IT systems.</w:t>
      </w:r>
      <w:r w:rsidR="00012950">
        <w:t xml:space="preserve"> </w:t>
      </w:r>
      <w:proofErr w:type="spellStart"/>
      <w:r w:rsidR="00E160A8">
        <w:t>C</w:t>
      </w:r>
      <w:r w:rsidR="00E05BA6">
        <w:t xml:space="preserve">yber </w:t>
      </w:r>
      <w:r w:rsidR="00012950">
        <w:t>attacks</w:t>
      </w:r>
      <w:proofErr w:type="spellEnd"/>
      <w:r w:rsidR="00012950">
        <w:t xml:space="preserve"> are one type of cyber risk.</w:t>
      </w:r>
    </w:p>
    <w:tbl>
      <w:tblPr>
        <w:tblW w:w="92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2"/>
        <w:gridCol w:w="1305"/>
      </w:tblGrid>
      <w:tr w:rsidR="00C10DBC" w:rsidRPr="00EC05A8" w14:paraId="74646C9A" w14:textId="77777777" w:rsidTr="003E71BB">
        <w:trPr>
          <w:cantSplit/>
          <w:trHeight w:hRule="exact" w:val="20"/>
          <w:jc w:val="right"/>
          <w:hidden/>
        </w:trPr>
        <w:tc>
          <w:tcPr>
            <w:tcW w:w="9247" w:type="dxa"/>
            <w:gridSpan w:val="2"/>
            <w:tcBorders>
              <w:top w:val="nil"/>
              <w:left w:val="nil"/>
              <w:bottom w:val="single" w:sz="4" w:space="0" w:color="auto"/>
              <w:right w:val="nil"/>
            </w:tcBorders>
            <w:tcMar>
              <w:left w:w="0" w:type="dxa"/>
            </w:tcMar>
          </w:tcPr>
          <w:p w14:paraId="701E698E" w14:textId="77777777" w:rsidR="00C10DBC" w:rsidRPr="00EC05A8" w:rsidRDefault="00C10DBC" w:rsidP="003E71BB">
            <w:pPr>
              <w:spacing w:after="120"/>
              <w:rPr>
                <w:rFonts w:cs="Segoe UI"/>
                <w:noProof/>
                <w:vanish/>
                <w:color w:val="64964B"/>
                <w:sz w:val="16"/>
              </w:rPr>
            </w:pPr>
            <w:r w:rsidRPr="00EC05A8">
              <w:rPr>
                <w:rFonts w:cs="Segoe UI"/>
                <w:noProof/>
                <w:vanish/>
                <w:color w:val="64964B"/>
                <w:sz w:val="16"/>
              </w:rPr>
              <w:t>DO NOT DELETE THIS LINE!</w:t>
            </w:r>
          </w:p>
          <w:p w14:paraId="59C46A17" w14:textId="77777777" w:rsidR="00C10DBC" w:rsidRPr="00EC05A8" w:rsidRDefault="00C10DBC" w:rsidP="003E71BB">
            <w:pPr>
              <w:spacing w:after="120" w:line="259" w:lineRule="auto"/>
              <w:rPr>
                <w:rFonts w:asciiTheme="minorHAnsi" w:eastAsiaTheme="minorHAnsi" w:hAnsiTheme="minorHAnsi" w:cs="Segoe UI"/>
                <w:noProof/>
                <w:vanish/>
                <w:color w:val="64964B"/>
                <w:sz w:val="16"/>
                <w:szCs w:val="22"/>
              </w:rPr>
            </w:pPr>
          </w:p>
          <w:p w14:paraId="5F26D7C9" w14:textId="77777777" w:rsidR="00C10DBC" w:rsidRPr="00EC05A8" w:rsidRDefault="00C10DBC" w:rsidP="003E71BB">
            <w:pPr>
              <w:spacing w:after="120" w:line="259" w:lineRule="auto"/>
              <w:rPr>
                <w:rFonts w:asciiTheme="minorHAnsi" w:eastAsiaTheme="minorHAnsi" w:hAnsiTheme="minorHAnsi" w:cs="Segoe UI"/>
                <w:noProof/>
                <w:vanish/>
                <w:color w:val="64964B"/>
                <w:sz w:val="16"/>
                <w:szCs w:val="22"/>
              </w:rPr>
            </w:pPr>
            <w:r w:rsidRPr="00EC05A8">
              <w:rPr>
                <w:rFonts w:asciiTheme="minorHAnsi" w:eastAsiaTheme="minorHAnsi" w:hAnsiTheme="minorHAnsi" w:cs="Segoe UI"/>
                <w:noProof/>
                <w:vanish/>
                <w:color w:val="64964B"/>
                <w:sz w:val="16"/>
                <w:szCs w:val="22"/>
              </w:rPr>
              <w:t>Styles:</w:t>
            </w:r>
          </w:p>
          <w:p w14:paraId="70311548" w14:textId="77777777" w:rsidR="00C10DBC" w:rsidRPr="00EC05A8" w:rsidRDefault="00C10DBC" w:rsidP="003E71BB">
            <w:pPr>
              <w:keepNext/>
              <w:spacing w:before="60" w:after="120" w:line="259" w:lineRule="auto"/>
              <w:jc w:val="both"/>
              <w:rPr>
                <w:rFonts w:asciiTheme="minorHAnsi" w:eastAsiaTheme="minorHAnsi" w:hAnsiTheme="minorHAnsi" w:cs="Segoe UI"/>
                <w:sz w:val="15"/>
                <w:szCs w:val="22"/>
                <w:u w:val="single" w:color="929993"/>
              </w:rPr>
            </w:pPr>
            <w:r w:rsidRPr="00EC05A8">
              <w:rPr>
                <w:rFonts w:asciiTheme="minorHAnsi" w:eastAsiaTheme="minorHAnsi" w:hAnsiTheme="minorHAnsi" w:cs="Segoe UI"/>
                <w:sz w:val="15"/>
                <w:szCs w:val="22"/>
                <w:u w:val="single" w:color="929993"/>
              </w:rPr>
              <w:t>Hyperlink BIS</w:t>
            </w:r>
          </w:p>
          <w:p w14:paraId="260A4E23" w14:textId="77777777" w:rsidR="00C10DBC" w:rsidRPr="00EC05A8" w:rsidRDefault="00C10DBC" w:rsidP="003E71BB">
            <w:pPr>
              <w:spacing w:after="120" w:line="259" w:lineRule="auto"/>
              <w:rPr>
                <w:rFonts w:asciiTheme="minorHAnsi" w:eastAsiaTheme="minorHAnsi" w:hAnsiTheme="minorHAnsi" w:cs="Segoe UI"/>
                <w:noProof/>
                <w:vanish/>
                <w:color w:val="64964B"/>
                <w:sz w:val="16"/>
                <w:szCs w:val="22"/>
              </w:rPr>
            </w:pPr>
          </w:p>
        </w:tc>
      </w:tr>
      <w:tr w:rsidR="00C10DBC" w:rsidRPr="00EC05A8" w14:paraId="4B37D32F" w14:textId="77777777" w:rsidTr="003E71BB">
        <w:tblPrEx>
          <w:tblBorders>
            <w:left w:val="none" w:sz="0" w:space="0" w:color="auto"/>
            <w:bottom w:val="none" w:sz="0" w:space="0" w:color="auto"/>
            <w:right w:val="none" w:sz="0" w:space="0" w:color="auto"/>
          </w:tblBorders>
          <w:tblCellMar>
            <w:left w:w="0" w:type="dxa"/>
            <w:right w:w="0" w:type="dxa"/>
          </w:tblCellMar>
        </w:tblPrEx>
        <w:trPr>
          <w:cantSplit/>
          <w:jc w:val="right"/>
        </w:trPr>
        <w:tc>
          <w:tcPr>
            <w:tcW w:w="7942" w:type="dxa"/>
            <w:tcBorders>
              <w:bottom w:val="single" w:sz="4" w:space="0" w:color="auto"/>
              <w:right w:val="nil"/>
            </w:tcBorders>
          </w:tcPr>
          <w:p w14:paraId="4BA7529F" w14:textId="77777777" w:rsidR="00C10DBC" w:rsidRDefault="00C10DBC" w:rsidP="003E71BB">
            <w:pPr>
              <w:spacing w:before="120" w:after="120"/>
              <w:rPr>
                <w:sz w:val="22"/>
              </w:rPr>
            </w:pPr>
            <w:r w:rsidRPr="00EC05A8">
              <w:rPr>
                <w:sz w:val="22"/>
              </w:rPr>
              <w:t>Interest in cyber risk is on par with operational risk</w:t>
            </w:r>
            <w:r w:rsidRPr="00EC05A8">
              <w:rPr>
                <w:sz w:val="22"/>
                <w:vertAlign w:val="superscript"/>
              </w:rPr>
              <w:t>1</w:t>
            </w:r>
          </w:p>
          <w:p w14:paraId="6D196F35" w14:textId="77777777" w:rsidR="00C10DBC" w:rsidRPr="006B1DF7" w:rsidRDefault="006B1DF7" w:rsidP="006B1DF7">
            <w:pPr>
              <w:pStyle w:val="GraphMainSubHeadingSegoeUI"/>
            </w:pPr>
            <w:r>
              <w:t>Search interest, index</w:t>
            </w:r>
          </w:p>
        </w:tc>
        <w:tc>
          <w:tcPr>
            <w:tcW w:w="1305" w:type="dxa"/>
            <w:tcBorders>
              <w:left w:val="nil"/>
              <w:bottom w:val="single" w:sz="4" w:space="0" w:color="auto"/>
            </w:tcBorders>
            <w:vAlign w:val="bottom"/>
          </w:tcPr>
          <w:p w14:paraId="03CC2F1B" w14:textId="77777777" w:rsidR="00C10DBC" w:rsidRPr="00EC05A8" w:rsidRDefault="00C10DBC" w:rsidP="003E71BB">
            <w:pPr>
              <w:keepNext/>
              <w:spacing w:after="120" w:line="259" w:lineRule="auto"/>
              <w:jc w:val="right"/>
              <w:rPr>
                <w:sz w:val="18"/>
              </w:rPr>
            </w:pPr>
            <w:r w:rsidRPr="00EC05A8">
              <w:rPr>
                <w:sz w:val="18"/>
              </w:rPr>
              <w:t>Graph 1</w:t>
            </w:r>
          </w:p>
        </w:tc>
      </w:tr>
      <w:tr w:rsidR="00C10DBC" w:rsidRPr="00EC05A8" w14:paraId="17AC83E2" w14:textId="77777777" w:rsidTr="003E71BB">
        <w:tblPrEx>
          <w:tblBorders>
            <w:left w:val="none" w:sz="0" w:space="0" w:color="auto"/>
            <w:bottom w:val="none" w:sz="0" w:space="0" w:color="auto"/>
            <w:right w:val="none" w:sz="0" w:space="0" w:color="auto"/>
          </w:tblBorders>
          <w:tblCellMar>
            <w:left w:w="0" w:type="dxa"/>
            <w:right w:w="0" w:type="dxa"/>
          </w:tblCellMar>
        </w:tblPrEx>
        <w:trPr>
          <w:cantSplit/>
          <w:jc w:val="right"/>
        </w:trPr>
        <w:tc>
          <w:tcPr>
            <w:tcW w:w="9247" w:type="dxa"/>
            <w:gridSpan w:val="2"/>
            <w:tcBorders>
              <w:top w:val="nil"/>
              <w:bottom w:val="nil"/>
            </w:tcBorders>
          </w:tcPr>
          <w:p w14:paraId="37AD8AA4" w14:textId="77777777" w:rsidR="00C10DBC" w:rsidRPr="00EC05A8" w:rsidRDefault="008A4DD9" w:rsidP="003E71BB">
            <w:pPr>
              <w:keepNext/>
              <w:spacing w:after="160" w:line="259" w:lineRule="auto"/>
              <w:ind w:left="-11"/>
              <w:rPr>
                <w:rFonts w:asciiTheme="minorHAnsi" w:eastAsia="Calibri" w:hAnsiTheme="minorHAnsi" w:cstheme="minorBidi"/>
                <w:sz w:val="22"/>
                <w:szCs w:val="22"/>
              </w:rPr>
            </w:pPr>
            <w:r>
              <w:rPr>
                <w:rFonts w:asciiTheme="minorHAnsi" w:eastAsia="Calibri" w:hAnsiTheme="minorHAnsi" w:cstheme="minorBidi"/>
                <w:noProof/>
                <w:sz w:val="22"/>
                <w:szCs w:val="22"/>
                <w:lang w:eastAsia="en-GB"/>
              </w:rPr>
              <w:drawing>
                <wp:inline distT="0" distB="0" distL="0" distR="0" wp14:anchorId="2B0BB99D" wp14:editId="7BDC9293">
                  <wp:extent cx="5868000" cy="2006805"/>
                  <wp:effectExtent l="0" t="0" r="0" b="0"/>
                  <wp:docPr id="11" name="Picture 11" descr="&lt;?xml version=&quot;1.0&quot; encoding=&quot;utf-8&quot;?&gt; &#10;&lt;XMLInfo&gt; &#10;&lt;DocFullFileName&gt;https://sp.bisinfo.org/sites/bi-monthly/2020-09/MeetingDocuments/All_Governors_Meeting_(All_Govs)/Working%20Documents\2020 September- All Governors Note - Cyber risk in the financial sector.docx&lt;/DocFullFileName&gt;&#10;&lt;EPSFullFileName&gt;L:\DRS\Products\Bimonthly_Meetings\Notes_AllGovernors\2020_09\graphs\g_googleTrends.MEDCS.eps&lt;/EPSFullFileName&gt;&#10;&lt;EPSRelativeFileName&gt;&lt;/EPSRelativeFileName&gt;&#10;&lt;EPSCreated&gt;20200803 14:50:04&lt;/EPSCreated&gt;&#10;&lt;EPSInsertedBy&gt;gi004099&lt;/EPSInsertedBy&gt;&#10;&lt;EPSInsertedDate&gt;20200803 14:52:20&lt;/EPSInsertedDate&gt;&#10;&lt;EPSModifiedDate&gt;20200820 09:37:29&lt;/EPSModifiedDate&gt;&#10;&lt;EPSUpdatedInDoc&gt;20200820 09:38:18&lt;/EPSUpdatedInDoc&gt;&#10;&lt;EPSModifiedBy&gt;gi004099&lt;/EPSModifiedBy&gt;&#10;&lt;XMLInfoVersionID&gt;2.0.0.0&lt;/XMLInfoVersionID&gt; &#10;&lt;EPSGUID&gt;{a328485f-0c99-4b20-94e6-5e37f1cd8cc5}&lt;/EPSGUID&gt;&#10;&lt;/XMLInfo&gt; &#10;" title="g_google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2">
                            <a:extLst>
                              <a:ext uri="{28A0092B-C50C-407E-A947-70E740481C1C}">
                                <a14:useLocalDpi xmlns:a14="http://schemas.microsoft.com/office/drawing/2010/main" val="0"/>
                              </a:ext>
                            </a:extLst>
                          </a:blip>
                          <a:stretch>
                            <a:fillRect/>
                          </a:stretch>
                        </pic:blipFill>
                        <pic:spPr>
                          <a:xfrm>
                            <a:off x="0" y="0"/>
                            <a:ext cx="5868000" cy="2006805"/>
                          </a:xfrm>
                          <a:prstGeom prst="rect">
                            <a:avLst/>
                          </a:prstGeom>
                        </pic:spPr>
                      </pic:pic>
                    </a:graphicData>
                  </a:graphic>
                </wp:inline>
              </w:drawing>
            </w:r>
          </w:p>
        </w:tc>
      </w:tr>
      <w:tr w:rsidR="00C10DBC" w:rsidRPr="00EC05A8" w14:paraId="59E06176" w14:textId="77777777" w:rsidTr="003E71BB">
        <w:tblPrEx>
          <w:tblBorders>
            <w:left w:val="none" w:sz="0" w:space="0" w:color="auto"/>
            <w:bottom w:val="none" w:sz="0" w:space="0" w:color="auto"/>
            <w:right w:val="none" w:sz="0" w:space="0" w:color="auto"/>
          </w:tblBorders>
          <w:tblCellMar>
            <w:left w:w="0" w:type="dxa"/>
            <w:right w:w="0" w:type="dxa"/>
          </w:tblCellMar>
        </w:tblPrEx>
        <w:trPr>
          <w:cantSplit/>
          <w:jc w:val="right"/>
        </w:trPr>
        <w:tc>
          <w:tcPr>
            <w:tcW w:w="9247" w:type="dxa"/>
            <w:gridSpan w:val="2"/>
            <w:tcBorders>
              <w:top w:val="nil"/>
              <w:bottom w:val="single" w:sz="4" w:space="0" w:color="auto"/>
            </w:tcBorders>
          </w:tcPr>
          <w:p w14:paraId="504C2175" w14:textId="51492EBC" w:rsidR="00C10DBC" w:rsidRPr="00EC05A8" w:rsidRDefault="00C10DBC" w:rsidP="003E71BB">
            <w:pPr>
              <w:spacing w:before="60" w:after="120"/>
              <w:jc w:val="both"/>
              <w:rPr>
                <w:sz w:val="15"/>
              </w:rPr>
            </w:pPr>
            <w:r w:rsidRPr="00EC05A8">
              <w:rPr>
                <w:sz w:val="15"/>
                <w:vertAlign w:val="superscript"/>
              </w:rPr>
              <w:t>1</w:t>
            </w:r>
            <w:proofErr w:type="gramStart"/>
            <w:r w:rsidRPr="00EC05A8">
              <w:rPr>
                <w:sz w:val="15"/>
              </w:rPr>
              <w:t>  </w:t>
            </w:r>
            <w:r w:rsidR="00137035">
              <w:rPr>
                <w:sz w:val="15"/>
              </w:rPr>
              <w:t>N</w:t>
            </w:r>
            <w:r w:rsidRPr="00EC05A8">
              <w:rPr>
                <w:sz w:val="15"/>
              </w:rPr>
              <w:t>umber</w:t>
            </w:r>
            <w:proofErr w:type="gramEnd"/>
            <w:r w:rsidRPr="00EC05A8">
              <w:rPr>
                <w:sz w:val="15"/>
              </w:rPr>
              <w:t xml:space="preserve"> of </w:t>
            </w:r>
            <w:r w:rsidR="00137035">
              <w:rPr>
                <w:sz w:val="15"/>
              </w:rPr>
              <w:t>w</w:t>
            </w:r>
            <w:r w:rsidRPr="00EC05A8">
              <w:rPr>
                <w:sz w:val="15"/>
              </w:rPr>
              <w:t>orldwide search</w:t>
            </w:r>
            <w:r w:rsidR="001F76FF">
              <w:rPr>
                <w:sz w:val="15"/>
              </w:rPr>
              <w:t>es</w:t>
            </w:r>
            <w:r w:rsidRPr="00EC05A8">
              <w:rPr>
                <w:sz w:val="15"/>
              </w:rPr>
              <w:t xml:space="preserve"> </w:t>
            </w:r>
            <w:r w:rsidR="00137035">
              <w:rPr>
                <w:sz w:val="15"/>
              </w:rPr>
              <w:t>for “cyber risk” and “operational risk”</w:t>
            </w:r>
            <w:r w:rsidRPr="00EC05A8">
              <w:rPr>
                <w:sz w:val="15"/>
              </w:rPr>
              <w:t xml:space="preserve"> relative to the highest point (=100). Data accessed on </w:t>
            </w:r>
            <w:r w:rsidR="0059663E">
              <w:rPr>
                <w:sz w:val="15"/>
              </w:rPr>
              <w:t>20</w:t>
            </w:r>
            <w:r w:rsidRPr="00EC05A8">
              <w:rPr>
                <w:sz w:val="15"/>
              </w:rPr>
              <w:t xml:space="preserve"> Aug 2020.</w:t>
            </w:r>
          </w:p>
          <w:p w14:paraId="13AC73BA" w14:textId="77777777" w:rsidR="00C10DBC" w:rsidRPr="00EC05A8" w:rsidRDefault="00C10DBC" w:rsidP="003E71BB">
            <w:pPr>
              <w:spacing w:before="60" w:after="120"/>
              <w:jc w:val="both"/>
              <w:rPr>
                <w:sz w:val="15"/>
              </w:rPr>
            </w:pPr>
            <w:r w:rsidRPr="00EC05A8">
              <w:rPr>
                <w:sz w:val="15"/>
              </w:rPr>
              <w:t xml:space="preserve">Source: </w:t>
            </w:r>
            <w:hyperlink r:id="rId13" w:history="1">
              <w:r w:rsidRPr="00BC7F56">
                <w:rPr>
                  <w:rStyle w:val="HyperlinkBIS"/>
                  <w:sz w:val="15"/>
                  <w:szCs w:val="15"/>
                </w:rPr>
                <w:t>Google Trends</w:t>
              </w:r>
            </w:hyperlink>
            <w:r w:rsidRPr="00EC05A8">
              <w:rPr>
                <w:sz w:val="15"/>
              </w:rPr>
              <w:t>.</w:t>
            </w:r>
          </w:p>
        </w:tc>
      </w:tr>
    </w:tbl>
    <w:p w14:paraId="7E8B3BF2" w14:textId="77777777" w:rsidR="001908F9" w:rsidRDefault="001908F9" w:rsidP="001908F9">
      <w:pPr>
        <w:spacing w:after="160" w:line="259" w:lineRule="auto"/>
        <w:jc w:val="both"/>
      </w:pPr>
    </w:p>
    <w:p w14:paraId="19A50F79" w14:textId="29640E74" w:rsidR="00542082" w:rsidRDefault="00137035" w:rsidP="001908F9">
      <w:pPr>
        <w:spacing w:after="160" w:line="259" w:lineRule="auto"/>
        <w:jc w:val="both"/>
      </w:pPr>
      <w:r>
        <w:t>C</w:t>
      </w:r>
      <w:r w:rsidRPr="006E2517">
        <w:t xml:space="preserve">yber incidents have a number of dimensions. Graph 2 provides a taxonomy, </w:t>
      </w:r>
      <w:r w:rsidR="003D7811">
        <w:t>based on</w:t>
      </w:r>
      <w:r w:rsidRPr="006E2517">
        <w:t xml:space="preserve"> four categories: cause, actor, intent and consequence</w:t>
      </w:r>
      <w:r>
        <w:t xml:space="preserve"> (</w:t>
      </w:r>
      <w:proofErr w:type="spellStart"/>
      <w:r>
        <w:t>Curti</w:t>
      </w:r>
      <w:proofErr w:type="spellEnd"/>
      <w:r>
        <w:t xml:space="preserve"> et al. 2019)</w:t>
      </w:r>
      <w:r w:rsidRPr="006E2517">
        <w:t>.  </w:t>
      </w:r>
    </w:p>
    <w:p w14:paraId="3C6BF007" w14:textId="5EA9B25C" w:rsidR="00542082" w:rsidRDefault="00137035" w:rsidP="001908F9">
      <w:pPr>
        <w:spacing w:after="160" w:line="259" w:lineRule="auto"/>
        <w:jc w:val="both"/>
      </w:pPr>
      <w:r w:rsidRPr="006E2517">
        <w:t xml:space="preserve">The </w:t>
      </w:r>
      <w:r w:rsidRPr="006E2517">
        <w:rPr>
          <w:b/>
        </w:rPr>
        <w:t xml:space="preserve">causes </w:t>
      </w:r>
      <w:r w:rsidRPr="006E2517">
        <w:t>can be very different, including both unintended incidents and intentional attacks. Examples of the former include accidental data disclosure as well as</w:t>
      </w:r>
      <w:r>
        <w:t xml:space="preserve"> errors in</w:t>
      </w:r>
      <w:r w:rsidRPr="006E2517" w:rsidDel="009D2490">
        <w:t xml:space="preserve"> </w:t>
      </w:r>
      <w:r w:rsidRPr="006E2517">
        <w:t xml:space="preserve">implementation, configuration and processing in IT systems. </w:t>
      </w:r>
      <w:r w:rsidR="00542082" w:rsidRPr="006E2517">
        <w:t>The</w:t>
      </w:r>
      <w:r w:rsidR="00542082" w:rsidRPr="006E2517" w:rsidDel="009D2490">
        <w:t xml:space="preserve"> </w:t>
      </w:r>
      <w:r w:rsidR="00542082" w:rsidRPr="006E2517">
        <w:t xml:space="preserve">best known </w:t>
      </w:r>
      <w:r w:rsidR="00542082">
        <w:t>causes</w:t>
      </w:r>
      <w:r w:rsidR="00542082" w:rsidRPr="006E2517">
        <w:t xml:space="preserve"> </w:t>
      </w:r>
      <w:r w:rsidR="00542082">
        <w:t xml:space="preserve">(methods) of </w:t>
      </w:r>
      <w:proofErr w:type="spellStart"/>
      <w:r w:rsidR="00542082">
        <w:t>cyber attacks</w:t>
      </w:r>
      <w:proofErr w:type="spellEnd"/>
      <w:r w:rsidR="00542082">
        <w:t xml:space="preserve"> </w:t>
      </w:r>
      <w:r w:rsidR="00542082" w:rsidRPr="006E2517">
        <w:t xml:space="preserve">are </w:t>
      </w:r>
      <w:r w:rsidR="00542082">
        <w:t>malware,</w:t>
      </w:r>
      <w:r w:rsidR="00542082" w:rsidRPr="006E2517">
        <w:t xml:space="preserve"> cross-site scripting, </w:t>
      </w:r>
      <w:r w:rsidR="00542082">
        <w:t xml:space="preserve">phishing, password cracking, </w:t>
      </w:r>
      <w:r w:rsidR="00542082" w:rsidRPr="006E2517">
        <w:t>zero-day exploits</w:t>
      </w:r>
      <w:r w:rsidR="00542082">
        <w:t xml:space="preserve">, and </w:t>
      </w:r>
      <w:r w:rsidR="00542082" w:rsidRPr="006E2517">
        <w:t>denial-of-service</w:t>
      </w:r>
      <w:r w:rsidR="00542082">
        <w:t xml:space="preserve"> and man-in-the-middle</w:t>
      </w:r>
      <w:r w:rsidR="00542082" w:rsidRPr="006E2517">
        <w:t xml:space="preserve"> attacks.</w:t>
      </w:r>
    </w:p>
    <w:p w14:paraId="13E40201" w14:textId="71442950" w:rsidR="008C57A8" w:rsidRDefault="008C57A8" w:rsidP="001908F9">
      <w:pPr>
        <w:spacing w:after="160" w:line="259" w:lineRule="auto"/>
        <w:jc w:val="both"/>
      </w:pPr>
      <w:r w:rsidRPr="006E2517">
        <w:t xml:space="preserve">The </w:t>
      </w:r>
      <w:r w:rsidRPr="006E2517">
        <w:rPr>
          <w:b/>
        </w:rPr>
        <w:t>actors</w:t>
      </w:r>
      <w:r w:rsidRPr="006E2517">
        <w:t xml:space="preserve"> vary. They include outright criminal and terrorist organisations, industrial spies, “hacktivists” (such as the Anonymous group), or state and state-sponsored </w:t>
      </w:r>
      <w:r>
        <w:t>players</w:t>
      </w:r>
      <w:r w:rsidRPr="006E2517">
        <w:t>. The damage they can cause depends on their sophistication and resources. For example, in 2016, hackers associated with North Korea carried out a notable attack by breaching the systems of Bangladesh Bank and using the SWIFT network to send fraudulent money transfer orders.</w:t>
      </w:r>
      <w:r w:rsidRPr="006E2517">
        <w:rPr>
          <w:rStyle w:val="FootnoteReference"/>
        </w:rPr>
        <w:footnoteReference w:id="4"/>
      </w:r>
      <w:r w:rsidRPr="006E2517">
        <w:t>  </w:t>
      </w:r>
      <w:r>
        <w:t>The attack highlighted rising cyber risks for payment systems and associated infrastructures.</w:t>
      </w:r>
      <w:r>
        <w:rPr>
          <w:rStyle w:val="FootnoteReference"/>
        </w:rPr>
        <w:footnoteReference w:id="5"/>
      </w:r>
    </w:p>
    <w:p w14:paraId="74CF045C" w14:textId="5A8C7F46" w:rsidR="001908F9" w:rsidRDefault="001908F9">
      <w:pPr>
        <w:spacing w:after="160" w:line="259" w:lineRule="auto"/>
      </w:pPr>
      <w:r>
        <w:br w:type="page"/>
      </w:r>
    </w:p>
    <w:p w14:paraId="5AFB76AC" w14:textId="77777777" w:rsidR="003D7811" w:rsidRDefault="003D7811">
      <w:pPr>
        <w:spacing w:after="160" w:line="259" w:lineRule="auto"/>
      </w:pPr>
    </w:p>
    <w:tbl>
      <w:tblPr>
        <w:tblW w:w="92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2"/>
        <w:gridCol w:w="1305"/>
      </w:tblGrid>
      <w:tr w:rsidR="00542082" w:rsidRPr="00EC05A8" w14:paraId="2D21DC84" w14:textId="77777777" w:rsidTr="002E5955">
        <w:trPr>
          <w:cantSplit/>
          <w:trHeight w:hRule="exact" w:val="20"/>
          <w:jc w:val="right"/>
          <w:hidden/>
        </w:trPr>
        <w:tc>
          <w:tcPr>
            <w:tcW w:w="9247" w:type="dxa"/>
            <w:gridSpan w:val="2"/>
            <w:tcBorders>
              <w:top w:val="nil"/>
              <w:left w:val="nil"/>
              <w:bottom w:val="single" w:sz="4" w:space="0" w:color="auto"/>
              <w:right w:val="nil"/>
            </w:tcBorders>
            <w:tcMar>
              <w:left w:w="0" w:type="dxa"/>
            </w:tcMar>
          </w:tcPr>
          <w:p w14:paraId="44E72E57" w14:textId="77777777" w:rsidR="00542082" w:rsidRPr="00EC05A8" w:rsidRDefault="00542082" w:rsidP="002E5955">
            <w:pPr>
              <w:spacing w:after="120"/>
              <w:rPr>
                <w:rFonts w:cs="Segoe UI"/>
                <w:noProof/>
                <w:vanish/>
                <w:color w:val="64964B"/>
                <w:sz w:val="16"/>
              </w:rPr>
            </w:pPr>
            <w:r w:rsidRPr="00EC05A8">
              <w:rPr>
                <w:rFonts w:cs="Segoe UI"/>
                <w:noProof/>
                <w:vanish/>
                <w:color w:val="64964B"/>
                <w:sz w:val="16"/>
              </w:rPr>
              <w:t>DO NOT DELETE THIS LINE!</w:t>
            </w:r>
          </w:p>
          <w:p w14:paraId="73E98F40" w14:textId="77777777" w:rsidR="00542082" w:rsidRPr="00EC05A8" w:rsidRDefault="00542082" w:rsidP="002E5955">
            <w:pPr>
              <w:spacing w:after="120" w:line="259" w:lineRule="auto"/>
              <w:rPr>
                <w:rFonts w:asciiTheme="minorHAnsi" w:eastAsiaTheme="minorHAnsi" w:hAnsiTheme="minorHAnsi" w:cs="Segoe UI"/>
                <w:noProof/>
                <w:vanish/>
                <w:color w:val="64964B"/>
                <w:sz w:val="16"/>
                <w:szCs w:val="22"/>
              </w:rPr>
            </w:pPr>
          </w:p>
          <w:p w14:paraId="62298DAC" w14:textId="77777777" w:rsidR="00542082" w:rsidRPr="00EC05A8" w:rsidRDefault="00542082" w:rsidP="002E5955">
            <w:pPr>
              <w:spacing w:after="120" w:line="259" w:lineRule="auto"/>
              <w:rPr>
                <w:rFonts w:asciiTheme="minorHAnsi" w:eastAsiaTheme="minorHAnsi" w:hAnsiTheme="minorHAnsi" w:cs="Segoe UI"/>
                <w:noProof/>
                <w:vanish/>
                <w:color w:val="64964B"/>
                <w:sz w:val="16"/>
                <w:szCs w:val="22"/>
              </w:rPr>
            </w:pPr>
            <w:r w:rsidRPr="00EC05A8">
              <w:rPr>
                <w:rFonts w:asciiTheme="minorHAnsi" w:eastAsiaTheme="minorHAnsi" w:hAnsiTheme="minorHAnsi" w:cs="Segoe UI"/>
                <w:noProof/>
                <w:vanish/>
                <w:color w:val="64964B"/>
                <w:sz w:val="16"/>
                <w:szCs w:val="22"/>
              </w:rPr>
              <w:t>Styles:</w:t>
            </w:r>
          </w:p>
          <w:p w14:paraId="6F2CF066" w14:textId="77777777" w:rsidR="00542082" w:rsidRPr="00EC05A8" w:rsidRDefault="00542082" w:rsidP="002E5955">
            <w:pPr>
              <w:keepNext/>
              <w:spacing w:before="60" w:after="120" w:line="259" w:lineRule="auto"/>
              <w:jc w:val="both"/>
              <w:rPr>
                <w:rFonts w:asciiTheme="minorHAnsi" w:eastAsiaTheme="minorHAnsi" w:hAnsiTheme="minorHAnsi" w:cs="Segoe UI"/>
                <w:sz w:val="15"/>
                <w:szCs w:val="22"/>
                <w:u w:val="single" w:color="929993"/>
              </w:rPr>
            </w:pPr>
            <w:r w:rsidRPr="00EC05A8">
              <w:rPr>
                <w:rFonts w:asciiTheme="minorHAnsi" w:eastAsiaTheme="minorHAnsi" w:hAnsiTheme="minorHAnsi" w:cs="Segoe UI"/>
                <w:sz w:val="15"/>
                <w:szCs w:val="22"/>
                <w:u w:val="single" w:color="929993"/>
              </w:rPr>
              <w:t>Hyperlink BIS</w:t>
            </w:r>
          </w:p>
          <w:p w14:paraId="2A0F6EFE" w14:textId="77777777" w:rsidR="00542082" w:rsidRPr="00EC05A8" w:rsidRDefault="00542082" w:rsidP="002E5955">
            <w:pPr>
              <w:spacing w:after="120" w:line="259" w:lineRule="auto"/>
              <w:rPr>
                <w:rFonts w:asciiTheme="minorHAnsi" w:eastAsiaTheme="minorHAnsi" w:hAnsiTheme="minorHAnsi" w:cs="Segoe UI"/>
                <w:noProof/>
                <w:vanish/>
                <w:color w:val="64964B"/>
                <w:sz w:val="16"/>
                <w:szCs w:val="22"/>
              </w:rPr>
            </w:pPr>
          </w:p>
        </w:tc>
      </w:tr>
      <w:tr w:rsidR="00542082" w:rsidRPr="00EC05A8" w14:paraId="24853A70" w14:textId="77777777" w:rsidTr="002E5955">
        <w:tblPrEx>
          <w:tblBorders>
            <w:left w:val="none" w:sz="0" w:space="0" w:color="auto"/>
            <w:bottom w:val="none" w:sz="0" w:space="0" w:color="auto"/>
            <w:right w:val="none" w:sz="0" w:space="0" w:color="auto"/>
          </w:tblBorders>
          <w:tblCellMar>
            <w:left w:w="0" w:type="dxa"/>
            <w:right w:w="0" w:type="dxa"/>
          </w:tblCellMar>
        </w:tblPrEx>
        <w:trPr>
          <w:cantSplit/>
          <w:jc w:val="right"/>
        </w:trPr>
        <w:tc>
          <w:tcPr>
            <w:tcW w:w="7942" w:type="dxa"/>
            <w:tcBorders>
              <w:bottom w:val="single" w:sz="4" w:space="0" w:color="auto"/>
              <w:right w:val="nil"/>
            </w:tcBorders>
          </w:tcPr>
          <w:p w14:paraId="0715906B" w14:textId="77777777" w:rsidR="00542082" w:rsidRPr="00EC05A8" w:rsidRDefault="00542082" w:rsidP="002E5955">
            <w:pPr>
              <w:spacing w:before="120" w:after="120"/>
              <w:rPr>
                <w:sz w:val="22"/>
              </w:rPr>
            </w:pPr>
            <w:r w:rsidRPr="00EC05A8">
              <w:rPr>
                <w:sz w:val="22"/>
              </w:rPr>
              <w:t>A simple taxonomy of cyber risks</w:t>
            </w:r>
          </w:p>
        </w:tc>
        <w:tc>
          <w:tcPr>
            <w:tcW w:w="1305" w:type="dxa"/>
            <w:tcBorders>
              <w:left w:val="nil"/>
              <w:bottom w:val="single" w:sz="4" w:space="0" w:color="auto"/>
            </w:tcBorders>
            <w:vAlign w:val="bottom"/>
          </w:tcPr>
          <w:p w14:paraId="615211E4" w14:textId="77777777" w:rsidR="00542082" w:rsidRPr="00EC05A8" w:rsidRDefault="00542082" w:rsidP="002E5955">
            <w:pPr>
              <w:keepNext/>
              <w:spacing w:after="120" w:line="259" w:lineRule="auto"/>
              <w:jc w:val="right"/>
              <w:rPr>
                <w:rFonts w:asciiTheme="minorHAnsi" w:eastAsiaTheme="minorHAnsi" w:hAnsiTheme="minorHAnsi" w:cstheme="minorBidi"/>
                <w:sz w:val="18"/>
                <w:szCs w:val="22"/>
              </w:rPr>
            </w:pPr>
            <w:r w:rsidRPr="00EC05A8">
              <w:rPr>
                <w:sz w:val="18"/>
              </w:rPr>
              <w:t>Graph 2</w:t>
            </w:r>
          </w:p>
        </w:tc>
      </w:tr>
      <w:tr w:rsidR="00542082" w:rsidRPr="00EC05A8" w14:paraId="23D73058" w14:textId="77777777" w:rsidTr="002E5955">
        <w:tblPrEx>
          <w:tblBorders>
            <w:left w:val="none" w:sz="0" w:space="0" w:color="auto"/>
            <w:bottom w:val="none" w:sz="0" w:space="0" w:color="auto"/>
            <w:right w:val="none" w:sz="0" w:space="0" w:color="auto"/>
          </w:tblBorders>
          <w:tblCellMar>
            <w:left w:w="0" w:type="dxa"/>
            <w:right w:w="0" w:type="dxa"/>
          </w:tblCellMar>
        </w:tblPrEx>
        <w:trPr>
          <w:cantSplit/>
          <w:jc w:val="right"/>
        </w:trPr>
        <w:tc>
          <w:tcPr>
            <w:tcW w:w="9247" w:type="dxa"/>
            <w:gridSpan w:val="2"/>
            <w:tcBorders>
              <w:top w:val="nil"/>
              <w:bottom w:val="nil"/>
            </w:tcBorders>
          </w:tcPr>
          <w:p w14:paraId="261F8FAA" w14:textId="77777777" w:rsidR="00542082" w:rsidRPr="00EC05A8" w:rsidRDefault="00542082" w:rsidP="002E5955">
            <w:pPr>
              <w:keepNext/>
              <w:spacing w:after="160" w:line="259" w:lineRule="auto"/>
              <w:ind w:left="-11"/>
              <w:rPr>
                <w:rFonts w:asciiTheme="minorHAnsi" w:eastAsia="Calibri" w:hAnsiTheme="minorHAnsi" w:cstheme="minorBidi"/>
                <w:sz w:val="22"/>
                <w:szCs w:val="22"/>
              </w:rPr>
            </w:pPr>
            <w:r>
              <w:rPr>
                <w:noProof/>
                <w:sz w:val="16"/>
                <w:szCs w:val="16"/>
                <w:lang w:eastAsia="en-GB"/>
              </w:rPr>
              <w:drawing>
                <wp:inline distT="0" distB="0" distL="0" distR="0" wp14:anchorId="35721253" wp14:editId="7435CFB8">
                  <wp:extent cx="5871600" cy="3592800"/>
                  <wp:effectExtent l="0" t="0" r="0" b="8255"/>
                  <wp:docPr id="3" name="Picture 3" descr="&lt;?xml version=&quot;1.0&quot; encoding=&quot;utf-8&quot;?&gt; &#10;&lt;XMLInfo&gt; &#10;&lt;DocFullFileName&gt;https://sp.bisinfo.org/sites/bi-monthly/2020-09/MeetingDocuments/All_Governors_Meeting_(All_Govs)/Working%20Documents\2020 September- All Governors Note - Cyber risk in the financial sector.docx&lt;/DocFullFileName&gt;&#10;&lt;EPSFullFileName&gt;L:\DRS\Products\Bimonthly_Meetings\Notes_AllGovernors\2020_09\graphs\Taxonomy cyber risk graph v4.eps&lt;/EPSFullFileName&gt;&#10;&lt;EPSRelativeFileName&gt;&lt;/EPSRelativeFileName&gt;&#10;&lt;EPSCreated&gt;20200825 11:39:26&lt;/EPSCreated&gt;&#10;&lt;EPSInsertedBy&gt;gi004099&lt;/EPSInsertedBy&gt;&#10;&lt;EPSInsertedDate&gt;20200825 11:41:04&lt;/EPSInsertedDate&gt;&#10;&lt;EPSModifiedDate&gt;20200825 11:39:27&lt;/EPSModifiedDate&gt;&#10;&lt;EPSUpdatedInDoc&gt;20200825 11:41:04&lt;/EPSUpdatedInDoc&gt;&#10;&lt;EPSModifiedBy&gt;gi004099&lt;/EPSModifiedBy&gt;&#10;&lt;XMLInfoVersionID&gt;2.0.0.0&lt;/XMLInfoVersionID&gt; &#10;&lt;EPSGUID&gt;{9284a7ba-f496-40e5-8a21-9d75233dc92f}&lt;/EPSGUID&gt;&#10;&lt;/XMLInfo&gt; &#10;" title="Taxonomy cyber risk graph 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extLst>
                              <a:ext uri="{28A0092B-C50C-407E-A947-70E740481C1C}">
                                <a14:useLocalDpi xmlns:a14="http://schemas.microsoft.com/office/drawing/2010/main" val="0"/>
                              </a:ext>
                            </a:extLst>
                          </a:blip>
                          <a:stretch>
                            <a:fillRect/>
                          </a:stretch>
                        </pic:blipFill>
                        <pic:spPr>
                          <a:xfrm>
                            <a:off x="0" y="0"/>
                            <a:ext cx="5871600" cy="3592800"/>
                          </a:xfrm>
                          <a:prstGeom prst="rect">
                            <a:avLst/>
                          </a:prstGeom>
                        </pic:spPr>
                      </pic:pic>
                    </a:graphicData>
                  </a:graphic>
                </wp:inline>
              </w:drawing>
            </w:r>
          </w:p>
        </w:tc>
      </w:tr>
      <w:tr w:rsidR="00542082" w:rsidRPr="00EC05A8" w14:paraId="411B185E" w14:textId="77777777" w:rsidTr="002E5955">
        <w:tblPrEx>
          <w:tblBorders>
            <w:left w:val="none" w:sz="0" w:space="0" w:color="auto"/>
            <w:bottom w:val="none" w:sz="0" w:space="0" w:color="auto"/>
            <w:right w:val="none" w:sz="0" w:space="0" w:color="auto"/>
          </w:tblBorders>
          <w:tblCellMar>
            <w:left w:w="0" w:type="dxa"/>
            <w:right w:w="0" w:type="dxa"/>
          </w:tblCellMar>
        </w:tblPrEx>
        <w:trPr>
          <w:cantSplit/>
          <w:jc w:val="right"/>
        </w:trPr>
        <w:tc>
          <w:tcPr>
            <w:tcW w:w="9247" w:type="dxa"/>
            <w:gridSpan w:val="2"/>
            <w:tcBorders>
              <w:top w:val="nil"/>
              <w:bottom w:val="single" w:sz="4" w:space="0" w:color="auto"/>
            </w:tcBorders>
          </w:tcPr>
          <w:p w14:paraId="116673AB" w14:textId="77777777" w:rsidR="00542082" w:rsidRPr="00EC05A8" w:rsidRDefault="00542082" w:rsidP="002E5955">
            <w:pPr>
              <w:spacing w:before="60" w:after="120"/>
              <w:jc w:val="both"/>
              <w:rPr>
                <w:sz w:val="15"/>
              </w:rPr>
            </w:pPr>
            <w:r>
              <w:rPr>
                <w:sz w:val="15"/>
              </w:rPr>
              <w:t>T</w:t>
            </w:r>
            <w:r w:rsidRPr="00EC05A8">
              <w:rPr>
                <w:sz w:val="15"/>
              </w:rPr>
              <w:t>he examples for each category are not meant to be exhaustive.</w:t>
            </w:r>
          </w:p>
          <w:p w14:paraId="2270167A" w14:textId="77777777" w:rsidR="00542082" w:rsidRPr="00EC05A8" w:rsidRDefault="00542082" w:rsidP="002E5955">
            <w:pPr>
              <w:spacing w:before="60" w:after="120"/>
              <w:jc w:val="both"/>
              <w:rPr>
                <w:sz w:val="15"/>
              </w:rPr>
            </w:pPr>
            <w:r w:rsidRPr="00EC05A8">
              <w:rPr>
                <w:sz w:val="15"/>
              </w:rPr>
              <w:t xml:space="preserve">Source: </w:t>
            </w:r>
            <w:r w:rsidRPr="00EC05A8">
              <w:rPr>
                <w:rFonts w:cs="Segoe UI"/>
                <w:sz w:val="15"/>
                <w:u w:color="929993"/>
              </w:rPr>
              <w:t>BIS elaboration</w:t>
            </w:r>
            <w:r w:rsidRPr="00EC05A8">
              <w:rPr>
                <w:sz w:val="15"/>
              </w:rPr>
              <w:t>.</w:t>
            </w:r>
          </w:p>
        </w:tc>
      </w:tr>
    </w:tbl>
    <w:p w14:paraId="3E86ED89" w14:textId="77777777" w:rsidR="001908F9" w:rsidRDefault="001908F9" w:rsidP="001908F9">
      <w:pPr>
        <w:spacing w:after="160" w:line="259" w:lineRule="auto"/>
        <w:jc w:val="both"/>
      </w:pPr>
    </w:p>
    <w:p w14:paraId="122170FD" w14:textId="57F0735F" w:rsidR="001908F9" w:rsidRDefault="001908F9" w:rsidP="001908F9">
      <w:pPr>
        <w:spacing w:after="160" w:line="259" w:lineRule="auto"/>
        <w:jc w:val="both"/>
      </w:pPr>
      <w:r w:rsidRPr="006E2517">
        <w:t xml:space="preserve">Graph </w:t>
      </w:r>
      <w:r>
        <w:t>3</w:t>
      </w:r>
      <w:r w:rsidRPr="006E2517">
        <w:t xml:space="preserve"> shows the number of cyber incidents by types of external actor over the period 2005–19. </w:t>
      </w:r>
      <w:r>
        <w:t>C</w:t>
      </w:r>
      <w:r w:rsidRPr="006E2517">
        <w:t xml:space="preserve">riminal organisations have been the most common threat actors. In 2016 and 2017, more incidents came from state actors, including the Bank Bangladesh attack. More recently, state actors are suspected to have initiated the </w:t>
      </w:r>
      <w:proofErr w:type="spellStart"/>
      <w:r w:rsidRPr="006E2517">
        <w:t>WannaCry</w:t>
      </w:r>
      <w:proofErr w:type="spellEnd"/>
      <w:r w:rsidRPr="006E2517">
        <w:t xml:space="preserve"> attacks</w:t>
      </w:r>
      <w:r>
        <w:rPr>
          <w:rStyle w:val="FootnoteReference"/>
        </w:rPr>
        <w:footnoteReference w:id="6"/>
      </w:r>
      <w:r w:rsidRPr="006E2517">
        <w:t xml:space="preserve"> and numerous hacks of crypto-asset trading platforms.</w:t>
      </w:r>
    </w:p>
    <w:p w14:paraId="2A45C938" w14:textId="77777777" w:rsidR="001908F9" w:rsidRDefault="001908F9" w:rsidP="001908F9">
      <w:pPr>
        <w:spacing w:after="160" w:line="259" w:lineRule="auto"/>
        <w:jc w:val="both"/>
      </w:pPr>
      <w:r w:rsidRPr="00F3106D">
        <w:t xml:space="preserve">As regards </w:t>
      </w:r>
      <w:r w:rsidRPr="00F3106D">
        <w:rPr>
          <w:b/>
        </w:rPr>
        <w:t>intent</w:t>
      </w:r>
      <w:r w:rsidRPr="00F3106D">
        <w:t xml:space="preserve">, around 40% </w:t>
      </w:r>
      <w:r>
        <w:t xml:space="preserve">of cyber incidents </w:t>
      </w:r>
      <w:r w:rsidRPr="00F3106D">
        <w:t>are intentional and malicious, rather than</w:t>
      </w:r>
      <w:r w:rsidRPr="006E2517">
        <w:t xml:space="preserve"> accidental</w:t>
      </w:r>
      <w:r>
        <w:t xml:space="preserve">, </w:t>
      </w:r>
      <w:proofErr w:type="spellStart"/>
      <w:r>
        <w:t>ie</w:t>
      </w:r>
      <w:proofErr w:type="spellEnd"/>
      <w:r>
        <w:t xml:space="preserve"> they are </w:t>
      </w:r>
      <w:r w:rsidRPr="006E2517">
        <w:t>“</w:t>
      </w:r>
      <w:proofErr w:type="spellStart"/>
      <w:r w:rsidRPr="006E2517">
        <w:t>cyber attacks</w:t>
      </w:r>
      <w:proofErr w:type="spellEnd"/>
      <w:r w:rsidRPr="006E2517">
        <w:t>”</w:t>
      </w:r>
      <w:r>
        <w:t xml:space="preserve"> (Aldasoro et al., 2020b)</w:t>
      </w:r>
      <w:r w:rsidRPr="006E2517">
        <w:t>.</w:t>
      </w:r>
      <w:r w:rsidRPr="003A2249">
        <w:t> </w:t>
      </w:r>
      <w:r w:rsidRPr="006E2517">
        <w:t>The ultimate purpose can be profit (</w:t>
      </w:r>
      <w:proofErr w:type="spellStart"/>
      <w:r w:rsidRPr="006E2517">
        <w:t>eg</w:t>
      </w:r>
      <w:proofErr w:type="spellEnd"/>
      <w:r w:rsidRPr="006E2517">
        <w:t xml:space="preserve"> ransomware, industrial spying), geopolitical (state-sponsored attacks on critical infrastructures) or general discontent (hacktivism).</w:t>
      </w:r>
    </w:p>
    <w:p w14:paraId="71B290CB" w14:textId="476EFD38" w:rsidR="00086CBB" w:rsidRDefault="008C57A8" w:rsidP="001908F9">
      <w:pPr>
        <w:spacing w:after="160" w:line="259" w:lineRule="auto"/>
        <w:jc w:val="both"/>
      </w:pPr>
      <w:r w:rsidRPr="006E2517">
        <w:t xml:space="preserve">The </w:t>
      </w:r>
      <w:r w:rsidRPr="006E2517">
        <w:rPr>
          <w:b/>
        </w:rPr>
        <w:t>consequences</w:t>
      </w:r>
      <w:r w:rsidRPr="006E2517">
        <w:t xml:space="preserve"> of cyber incidents can be monetary and/or reputational. They can involve a loss of the </w:t>
      </w:r>
      <w:r w:rsidRPr="006E2517">
        <w:rPr>
          <w:i/>
        </w:rPr>
        <w:t>confidentiality</w:t>
      </w:r>
      <w:r w:rsidRPr="006E2517">
        <w:t xml:space="preserve">, </w:t>
      </w:r>
      <w:r w:rsidRPr="006E2517">
        <w:rPr>
          <w:i/>
        </w:rPr>
        <w:t>integrity</w:t>
      </w:r>
      <w:r w:rsidRPr="006E2517">
        <w:t xml:space="preserve"> or </w:t>
      </w:r>
      <w:r w:rsidRPr="006E2517">
        <w:rPr>
          <w:i/>
        </w:rPr>
        <w:t>availability</w:t>
      </w:r>
      <w:r w:rsidRPr="006E2517">
        <w:t xml:space="preserve"> of assets and services. Business disruptions and IT system failures can damage integrity and availability. Data breaches </w:t>
      </w:r>
      <w:r>
        <w:t>compromise</w:t>
      </w:r>
      <w:r w:rsidRPr="006E2517">
        <w:t xml:space="preserve"> confidentiality, with financial and reputational losses. Fraud and theft include the loss of funds or any information (</w:t>
      </w:r>
      <w:proofErr w:type="spellStart"/>
      <w:r w:rsidRPr="006E2517">
        <w:t>eg</w:t>
      </w:r>
      <w:proofErr w:type="spellEnd"/>
      <w:r w:rsidRPr="006E2517">
        <w:t xml:space="preserve"> intellectual property) that may or may not be personally identifiable.</w:t>
      </w:r>
      <w:r>
        <w:t xml:space="preserve"> In some circumstances, </w:t>
      </w:r>
      <w:proofErr w:type="spellStart"/>
      <w:r>
        <w:t>cyber attacks</w:t>
      </w:r>
      <w:proofErr w:type="spellEnd"/>
      <w:r>
        <w:t xml:space="preserve"> could have systemic implications and cause serious economic dislocations.</w:t>
      </w:r>
    </w:p>
    <w:p w14:paraId="4DC6BB1D" w14:textId="77777777" w:rsidR="001908F9" w:rsidRDefault="001908F9" w:rsidP="001908F9">
      <w:pPr>
        <w:pStyle w:val="Paragraph"/>
        <w:ind w:firstLine="0"/>
      </w:pPr>
    </w:p>
    <w:tbl>
      <w:tblPr>
        <w:tblW w:w="9247" w:type="dxa"/>
        <w:jc w:val="right"/>
        <w:tblBorders>
          <w:top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2"/>
        <w:gridCol w:w="1305"/>
      </w:tblGrid>
      <w:tr w:rsidR="00542082" w:rsidRPr="001E02B4" w14:paraId="3494C089" w14:textId="77777777" w:rsidTr="002E5955">
        <w:trPr>
          <w:cantSplit/>
          <w:jc w:val="right"/>
        </w:trPr>
        <w:tc>
          <w:tcPr>
            <w:tcW w:w="7942" w:type="dxa"/>
            <w:tcBorders>
              <w:bottom w:val="single" w:sz="4" w:space="0" w:color="auto"/>
              <w:right w:val="nil"/>
            </w:tcBorders>
          </w:tcPr>
          <w:p w14:paraId="373DF782" w14:textId="77777777" w:rsidR="00542082" w:rsidRPr="001E02B4" w:rsidRDefault="00542082" w:rsidP="002E5955">
            <w:pPr>
              <w:pStyle w:val="GraphMainHeadingSegoeUI"/>
            </w:pPr>
            <w:r w:rsidRPr="001E02B4">
              <w:lastRenderedPageBreak/>
              <w:t>Frequency of cyber incidents by external actors</w:t>
            </w:r>
          </w:p>
          <w:p w14:paraId="5F4D0F2A" w14:textId="77777777" w:rsidR="00542082" w:rsidRPr="001E02B4" w:rsidRDefault="00542082" w:rsidP="002E5955">
            <w:pPr>
              <w:pStyle w:val="GraphMainSubHeadingSegoeUI"/>
            </w:pPr>
            <w:r w:rsidRPr="001E02B4">
              <w:t>Number of incidents</w:t>
            </w:r>
          </w:p>
        </w:tc>
        <w:tc>
          <w:tcPr>
            <w:tcW w:w="1305" w:type="dxa"/>
            <w:tcBorders>
              <w:left w:val="nil"/>
              <w:bottom w:val="single" w:sz="4" w:space="0" w:color="auto"/>
            </w:tcBorders>
            <w:vAlign w:val="bottom"/>
          </w:tcPr>
          <w:p w14:paraId="2A4BAF67" w14:textId="77777777" w:rsidR="00542082" w:rsidRPr="001E02B4" w:rsidRDefault="00542082" w:rsidP="00542082">
            <w:pPr>
              <w:keepNext/>
              <w:spacing w:after="120"/>
              <w:jc w:val="right"/>
              <w:rPr>
                <w:sz w:val="18"/>
              </w:rPr>
            </w:pPr>
            <w:r w:rsidRPr="001E02B4">
              <w:rPr>
                <w:sz w:val="18"/>
              </w:rPr>
              <w:t>Graph </w:t>
            </w:r>
            <w:r>
              <w:rPr>
                <w:sz w:val="18"/>
              </w:rPr>
              <w:t>3</w:t>
            </w:r>
          </w:p>
        </w:tc>
      </w:tr>
      <w:tr w:rsidR="00542082" w:rsidRPr="001E02B4" w14:paraId="42CB2B26" w14:textId="77777777" w:rsidTr="002E5955">
        <w:trPr>
          <w:cantSplit/>
          <w:jc w:val="right"/>
        </w:trPr>
        <w:tc>
          <w:tcPr>
            <w:tcW w:w="9247" w:type="dxa"/>
            <w:gridSpan w:val="2"/>
            <w:tcBorders>
              <w:top w:val="nil"/>
              <w:bottom w:val="nil"/>
            </w:tcBorders>
          </w:tcPr>
          <w:p w14:paraId="49AB1180" w14:textId="77777777" w:rsidR="00542082" w:rsidRPr="001E02B4" w:rsidRDefault="00542082" w:rsidP="002E5955">
            <w:pPr>
              <w:keepNext/>
              <w:ind w:left="-11"/>
              <w:rPr>
                <w:rFonts w:eastAsia="Calibri"/>
                <w:szCs w:val="22"/>
              </w:rPr>
            </w:pPr>
            <w:r>
              <w:rPr>
                <w:rFonts w:eastAsia="Calibri"/>
                <w:noProof/>
                <w:szCs w:val="22"/>
                <w:lang w:eastAsia="en-GB"/>
              </w:rPr>
              <w:drawing>
                <wp:inline distT="0" distB="0" distL="0" distR="0" wp14:anchorId="0F37D3E1" wp14:editId="6BC808EC">
                  <wp:extent cx="5868000" cy="2006805"/>
                  <wp:effectExtent l="0" t="0" r="0" b="0"/>
                  <wp:docPr id="4" name="Picture 4" descr="&lt;?xml version=&quot;1.0&quot; encoding=&quot;utf-8&quot;?&gt; &#10;&lt;XMLInfo&gt; &#10;&lt;DocFullFileName&gt;https://sp.bisinfo.org/sites/bi-monthly/2020-09/MeetingDocuments/All_Governors_Meeting_(All_Govs)/Working%20Documents\2020 September- All Governors Note - Cyber risk in the financial sector.docx&lt;/DocFullFileName&gt;&#10;&lt;EPSFullFileName&gt;L:\DRS\Products\Bimonthly_Meetings\Notes_AllGovernors\2020_09\graphs\g_actors_time.MEDCS.eps&lt;/EPSFullFileName&gt;&#10;&lt;EPSRelativeFileName&gt;&lt;/EPSRelativeFileName&gt;&#10;&lt;EPSCreated&gt;20200806 13:38:54&lt;/EPSCreated&gt;&#10;&lt;EPSInsertedBy&gt;gi004099&lt;/EPSInsertedBy&gt;&#10;&lt;EPSInsertedDate&gt;20200806 13:40:48&lt;/EPSInsertedDate&gt;&#10;&lt;EPSModifiedDate&gt;20200817 13:31:22&lt;/EPSModifiedDate&gt;&#10;&lt;EPSUpdatedInDoc&gt;20200817 13:31:29&lt;/EPSUpdatedInDoc&gt;&#10;&lt;EPSModifiedBy&gt;gi004099&lt;/EPSModifiedBy&gt;&#10;&lt;XMLInfoVersionID&gt;2.0.0.0&lt;/XMLInfoVersionID&gt; &#10;&lt;EPSGUID&gt;{83cdf425-79a7-4c22-8930-81a30e314174}&lt;/EPSGUID&gt;&#10;&lt;/XMLInfo&gt; &#10;" title="g_actors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extLst>
                              <a:ext uri="{28A0092B-C50C-407E-A947-70E740481C1C}">
                                <a14:useLocalDpi xmlns:a14="http://schemas.microsoft.com/office/drawing/2010/main" val="0"/>
                              </a:ext>
                            </a:extLst>
                          </a:blip>
                          <a:stretch>
                            <a:fillRect/>
                          </a:stretch>
                        </pic:blipFill>
                        <pic:spPr>
                          <a:xfrm>
                            <a:off x="0" y="0"/>
                            <a:ext cx="5868000" cy="2006805"/>
                          </a:xfrm>
                          <a:prstGeom prst="rect">
                            <a:avLst/>
                          </a:prstGeom>
                        </pic:spPr>
                      </pic:pic>
                    </a:graphicData>
                  </a:graphic>
                </wp:inline>
              </w:drawing>
            </w:r>
          </w:p>
        </w:tc>
      </w:tr>
      <w:tr w:rsidR="00542082" w:rsidRPr="001E02B4" w14:paraId="3743680E" w14:textId="77777777" w:rsidTr="002E5955">
        <w:trPr>
          <w:cantSplit/>
          <w:jc w:val="right"/>
        </w:trPr>
        <w:tc>
          <w:tcPr>
            <w:tcW w:w="9247" w:type="dxa"/>
            <w:gridSpan w:val="2"/>
            <w:tcBorders>
              <w:top w:val="nil"/>
              <w:bottom w:val="single" w:sz="4" w:space="0" w:color="auto"/>
            </w:tcBorders>
          </w:tcPr>
          <w:p w14:paraId="07432DDF" w14:textId="77777777" w:rsidR="00542082" w:rsidRPr="001E02B4" w:rsidRDefault="00542082" w:rsidP="002E5955">
            <w:pPr>
              <w:keepNext/>
              <w:spacing w:before="60" w:after="120"/>
              <w:jc w:val="both"/>
              <w:rPr>
                <w:sz w:val="15"/>
              </w:rPr>
            </w:pPr>
            <w:r w:rsidRPr="001E02B4">
              <w:rPr>
                <w:sz w:val="15"/>
              </w:rPr>
              <w:t xml:space="preserve">Source: I Aldasoro, L Gambacorta, P </w:t>
            </w:r>
            <w:proofErr w:type="spellStart"/>
            <w:r w:rsidRPr="001E02B4">
              <w:rPr>
                <w:sz w:val="15"/>
              </w:rPr>
              <w:t>Giudici</w:t>
            </w:r>
            <w:proofErr w:type="spellEnd"/>
            <w:r w:rsidRPr="001E02B4">
              <w:rPr>
                <w:sz w:val="15"/>
              </w:rPr>
              <w:t xml:space="preserve"> and T Leach, “The drivers of cyber risk”, </w:t>
            </w:r>
            <w:r w:rsidRPr="00484273">
              <w:rPr>
                <w:i/>
                <w:sz w:val="15"/>
              </w:rPr>
              <w:t>BIS Working Papers</w:t>
            </w:r>
            <w:r w:rsidRPr="001E02B4">
              <w:rPr>
                <w:sz w:val="15"/>
              </w:rPr>
              <w:t>, no 865, May 2020.</w:t>
            </w:r>
          </w:p>
        </w:tc>
      </w:tr>
    </w:tbl>
    <w:p w14:paraId="2FFBA2B9" w14:textId="77777777" w:rsidR="008C57A8" w:rsidRDefault="008C57A8" w:rsidP="00A13B26">
      <w:pPr>
        <w:pStyle w:val="Paragraph"/>
        <w:ind w:firstLine="0"/>
      </w:pPr>
    </w:p>
    <w:p w14:paraId="77E7966A" w14:textId="77777777" w:rsidR="001908F9" w:rsidRDefault="001908F9" w:rsidP="001908F9">
      <w:pPr>
        <w:spacing w:after="160" w:line="259" w:lineRule="auto"/>
        <w:jc w:val="both"/>
      </w:pPr>
      <w:r w:rsidRPr="003A2249">
        <w:t xml:space="preserve">The risks and consequences of </w:t>
      </w:r>
      <w:proofErr w:type="spellStart"/>
      <w:r w:rsidRPr="003A2249">
        <w:t>cyber attacks</w:t>
      </w:r>
      <w:proofErr w:type="spellEnd"/>
      <w:r w:rsidRPr="003A2249">
        <w:t xml:space="preserve"> differ from generic IT risks for at least three reasons. First, </w:t>
      </w:r>
      <w:proofErr w:type="spellStart"/>
      <w:r w:rsidRPr="003A2249">
        <w:t>cyber attacks</w:t>
      </w:r>
      <w:proofErr w:type="spellEnd"/>
      <w:r w:rsidRPr="003A2249">
        <w:t xml:space="preserve"> are malicious. Second, they are highly scalable, </w:t>
      </w:r>
      <w:proofErr w:type="spellStart"/>
      <w:r>
        <w:t>ie</w:t>
      </w:r>
      <w:proofErr w:type="spellEnd"/>
      <w:r w:rsidRPr="003A2249">
        <w:t xml:space="preserve"> they can spread rapidly through copycat attacks or perhaps occur simultaneously due to common sources of vulnerability across IT systems and institutions. Third, they are constantly evolving, with threat actors responding to countermeasures.</w:t>
      </w:r>
    </w:p>
    <w:p w14:paraId="0A825BEB" w14:textId="77777777" w:rsidR="001908F9" w:rsidRDefault="001908F9" w:rsidP="001908F9">
      <w:pPr>
        <w:spacing w:after="160" w:line="259" w:lineRule="auto"/>
        <w:jc w:val="both"/>
      </w:pPr>
      <w:r w:rsidRPr="006E2517">
        <w:t xml:space="preserve">The rapid evolution of the </w:t>
      </w:r>
      <w:proofErr w:type="spellStart"/>
      <w:r w:rsidRPr="006E2517">
        <w:t>cyber attack</w:t>
      </w:r>
      <w:proofErr w:type="spellEnd"/>
      <w:r w:rsidRPr="006E2517">
        <w:t xml:space="preserve"> landscape is challenging authorities’ ability to assess the threats adequately. In the past, sophisticated targeted intrusions were the exclusive domain of nation states, as they alone possessed the necessary motivation, resources and technical talent to penetrate well defended networks. However, this is no longer the case. Sophisticated exploit tools and software frameworks are widely available on the internet at no or little cost, lowering entry barriers. </w:t>
      </w:r>
      <w:proofErr w:type="spellStart"/>
      <w:r w:rsidRPr="006E2517">
        <w:t>Crimeware</w:t>
      </w:r>
      <w:proofErr w:type="spellEnd"/>
      <w:r w:rsidRPr="006E2517">
        <w:t xml:space="preserve"> as a service (</w:t>
      </w:r>
      <w:proofErr w:type="spellStart"/>
      <w:r w:rsidRPr="006E2517">
        <w:t>CaaS</w:t>
      </w:r>
      <w:proofErr w:type="spellEnd"/>
      <w:r w:rsidRPr="006E2517">
        <w:t xml:space="preserve">) is a viable business model whereby criminal actors for hire utilise state-of-the-art attack tools and techniques against specified targets. </w:t>
      </w:r>
      <w:r>
        <w:t>P</w:t>
      </w:r>
      <w:r w:rsidRPr="006E2517">
        <w:t>erhaps most worrisome are firms that conduct research to identify zero-day exploits,</w:t>
      </w:r>
      <w:r>
        <w:rPr>
          <w:rStyle w:val="FootnoteReference"/>
        </w:rPr>
        <w:footnoteReference w:id="7"/>
      </w:r>
      <w:r w:rsidRPr="006E2517">
        <w:t xml:space="preserve"> which are then offered for sale.</w:t>
      </w:r>
    </w:p>
    <w:p w14:paraId="742ED8BC" w14:textId="0233E6DD" w:rsidR="003743EF" w:rsidRDefault="003743EF" w:rsidP="001908F9">
      <w:pPr>
        <w:spacing w:after="160" w:line="259" w:lineRule="auto"/>
        <w:jc w:val="both"/>
      </w:pPr>
      <w:r w:rsidRPr="003743EF">
        <w:t xml:space="preserve">The operational disruptions of the Covid-19 pandemic may have opened </w:t>
      </w:r>
      <w:r w:rsidR="00375C3C">
        <w:t xml:space="preserve">up </w:t>
      </w:r>
      <w:r w:rsidRPr="003743EF">
        <w:t xml:space="preserve">new possibilities for </w:t>
      </w:r>
      <w:r w:rsidR="007003C2">
        <w:t>attacks</w:t>
      </w:r>
      <w:r w:rsidRPr="003743EF">
        <w:t>. Evidence to date suggests that the causes, actors and intent of such attacks have been broadly similar to those pre-pandemic</w:t>
      </w:r>
      <w:r w:rsidR="00086CBB">
        <w:t xml:space="preserve"> (CERT-EU, 2020)</w:t>
      </w:r>
      <w:r w:rsidRPr="003743EF">
        <w:t>.</w:t>
      </w:r>
      <w:r w:rsidR="005A6468" w:rsidRPr="003A2249">
        <w:t>  </w:t>
      </w:r>
      <w:r w:rsidRPr="003743EF">
        <w:t xml:space="preserve">Yet there has been a sharp rise in </w:t>
      </w:r>
      <w:proofErr w:type="spellStart"/>
      <w:r w:rsidRPr="003743EF">
        <w:t>Covid</w:t>
      </w:r>
      <w:proofErr w:type="spellEnd"/>
      <w:r w:rsidRPr="003743EF">
        <w:t>-related phishing, for instance e-mails or attachments that purport to hold information related to Covid-19 and in fact carry malware. Given the widespread use of WFH arrangements, threat actors are able to leverage operational uncertainty and the use of personal devices.</w:t>
      </w:r>
      <w:r w:rsidR="0099721C" w:rsidRPr="006E2517">
        <w:t>  </w:t>
      </w:r>
      <w:r w:rsidR="004628FB">
        <w:t>For instance, t</w:t>
      </w:r>
      <w:r w:rsidR="004628FB" w:rsidRPr="00B35BC8">
        <w:t xml:space="preserve">he use of remote access technologies </w:t>
      </w:r>
      <w:r w:rsidR="004628FB">
        <w:t>such as</w:t>
      </w:r>
      <w:r w:rsidR="004628FB" w:rsidRPr="00B35BC8">
        <w:t xml:space="preserve"> </w:t>
      </w:r>
      <w:r w:rsidR="0099721C">
        <w:t xml:space="preserve">the </w:t>
      </w:r>
      <w:r w:rsidR="004628FB" w:rsidRPr="00B35BC8">
        <w:t xml:space="preserve">Remote Desktop Protocol (RDP) and Virtual Private Network (VPN) has </w:t>
      </w:r>
      <w:r w:rsidR="004628FB">
        <w:t>increased by</w:t>
      </w:r>
      <w:r w:rsidR="004628FB" w:rsidRPr="00B35BC8">
        <w:t xml:space="preserve"> 41% and 33%, respectively, since the onset of the </w:t>
      </w:r>
      <w:r w:rsidR="004628FB">
        <w:t>Covid-19 outbreak</w:t>
      </w:r>
      <w:r w:rsidR="009A0580">
        <w:t xml:space="preserve"> (ZDNet, 2020)</w:t>
      </w:r>
      <w:r w:rsidR="004628FB">
        <w:t xml:space="preserve">. </w:t>
      </w:r>
      <w:r w:rsidR="002049AC">
        <w:t xml:space="preserve">Unless well managed, </w:t>
      </w:r>
      <w:r w:rsidR="00145641">
        <w:t>this</w:t>
      </w:r>
      <w:r w:rsidR="002049AC">
        <w:t xml:space="preserve"> may allow new opportunities for threat actors to penetrate IT systems and carry out </w:t>
      </w:r>
      <w:proofErr w:type="spellStart"/>
      <w:r w:rsidR="002049AC">
        <w:t>cyber attacks</w:t>
      </w:r>
      <w:proofErr w:type="spellEnd"/>
      <w:r w:rsidR="003462EF">
        <w:t xml:space="preserve"> (Crisanto and Prenio, 2020)</w:t>
      </w:r>
      <w:r w:rsidR="00522CD9">
        <w:t xml:space="preserve">. </w:t>
      </w:r>
      <w:r w:rsidR="00145641">
        <w:t>WFH may also challenge business continuity plans and the response to an operational or cyber incident</w:t>
      </w:r>
      <w:r w:rsidR="003462EF">
        <w:t xml:space="preserve"> (CPMI, 2020)</w:t>
      </w:r>
      <w:r w:rsidR="00145641">
        <w:t>.</w:t>
      </w:r>
    </w:p>
    <w:p w14:paraId="443D8900" w14:textId="7FFFA72C" w:rsidR="003A2249" w:rsidRPr="009A7DA7" w:rsidRDefault="0088268B" w:rsidP="001908F9">
      <w:pPr>
        <w:pStyle w:val="IndentedHeading1"/>
      </w:pPr>
      <w:r>
        <w:lastRenderedPageBreak/>
        <w:t>3</w:t>
      </w:r>
      <w:r w:rsidR="003743EF">
        <w:t xml:space="preserve">. </w:t>
      </w:r>
      <w:r w:rsidR="003E3C2B" w:rsidRPr="006E2517">
        <w:t xml:space="preserve">Quantifying the costs </w:t>
      </w:r>
      <w:r w:rsidR="004C1E72">
        <w:t xml:space="preserve">and risks </w:t>
      </w:r>
      <w:r w:rsidR="003E3C2B">
        <w:t>in the financial sector</w:t>
      </w:r>
    </w:p>
    <w:p w14:paraId="07BDA3A3" w14:textId="77777777" w:rsidR="003A2249" w:rsidRPr="003A2249" w:rsidRDefault="003A2249" w:rsidP="001908F9">
      <w:pPr>
        <w:spacing w:after="160" w:line="259" w:lineRule="auto"/>
        <w:jc w:val="both"/>
      </w:pPr>
      <w:r w:rsidRPr="003A2249">
        <w:t xml:space="preserve">The financial sector is particularly vulnerable. </w:t>
      </w:r>
      <w:proofErr w:type="spellStart"/>
      <w:r w:rsidR="004A3EAE" w:rsidRPr="006E2517">
        <w:t>Zakrzewski</w:t>
      </w:r>
      <w:proofErr w:type="spellEnd"/>
      <w:r w:rsidR="004A3EAE">
        <w:t xml:space="preserve"> </w:t>
      </w:r>
      <w:r w:rsidR="00ED6B6D">
        <w:t>et al.</w:t>
      </w:r>
      <w:r w:rsidR="004A3EAE">
        <w:t xml:space="preserve"> (2019)</w:t>
      </w:r>
      <w:r w:rsidRPr="003A2249">
        <w:t xml:space="preserve"> finds that financial services firms are 300 times more likely to be targeted than others.</w:t>
      </w:r>
      <w:r w:rsidR="005A6468" w:rsidRPr="003A2249">
        <w:t> </w:t>
      </w:r>
      <w:r w:rsidR="00E21BAA">
        <w:t>This may reflect that s</w:t>
      </w:r>
      <w:r w:rsidR="00DE6C98">
        <w:t>uccessful criminal attacks on financial firms</w:t>
      </w:r>
      <w:r w:rsidRPr="003A2249">
        <w:t xml:space="preserve"> </w:t>
      </w:r>
      <w:r w:rsidR="00DE6C98">
        <w:t>could be particularly rewarding</w:t>
      </w:r>
      <w:r w:rsidRPr="003A2249">
        <w:t xml:space="preserve">. Accounts, customer information, associated transactions as well as backup systems are </w:t>
      </w:r>
      <w:r w:rsidR="00DE6C98">
        <w:t xml:space="preserve">all </w:t>
      </w:r>
      <w:r w:rsidRPr="003A2249">
        <w:t>digitised</w:t>
      </w:r>
      <w:r w:rsidR="004A3EAE">
        <w:t xml:space="preserve"> (Brenner, 2017)</w:t>
      </w:r>
      <w:r w:rsidRPr="003A2249">
        <w:t>.  And the consequences may have larger systemic implications, owing to the high degree of interconnectivity, nationally and internationally.</w:t>
      </w:r>
      <w:r w:rsidR="006E5EF2">
        <w:t xml:space="preserve"> </w:t>
      </w:r>
    </w:p>
    <w:p w14:paraId="113B6781" w14:textId="77777777" w:rsidR="00006D95" w:rsidRDefault="003743EF" w:rsidP="001908F9">
      <w:pPr>
        <w:spacing w:after="160" w:line="259" w:lineRule="auto"/>
        <w:jc w:val="both"/>
      </w:pPr>
      <w:r>
        <w:t>Unsurprisingly, th</w:t>
      </w:r>
      <w:r w:rsidR="002D0D3B">
        <w:t xml:space="preserve">e financial sector, </w:t>
      </w:r>
      <w:r w:rsidR="004A1BE6">
        <w:t>where</w:t>
      </w:r>
      <w:r w:rsidR="00B7080A" w:rsidRPr="00B7080A">
        <w:t xml:space="preserve"> telework</w:t>
      </w:r>
      <w:r w:rsidR="004A1BE6">
        <w:t xml:space="preserve"> is more common</w:t>
      </w:r>
      <w:r w:rsidR="002D0D3B">
        <w:t xml:space="preserve">, has seen a </w:t>
      </w:r>
      <w:r w:rsidR="004A1BE6">
        <w:t xml:space="preserve">growing </w:t>
      </w:r>
      <w:r w:rsidR="002D0D3B">
        <w:t xml:space="preserve">incidence of </w:t>
      </w:r>
      <w:proofErr w:type="spellStart"/>
      <w:r w:rsidR="002D0D3B">
        <w:t>cyber attacks</w:t>
      </w:r>
      <w:proofErr w:type="spellEnd"/>
      <w:r w:rsidR="002D0D3B">
        <w:t xml:space="preserve"> since </w:t>
      </w:r>
      <w:r w:rsidR="00537CFF">
        <w:t>the end of February</w:t>
      </w:r>
      <w:r w:rsidR="002D0D3B">
        <w:t xml:space="preserve"> 2020. </w:t>
      </w:r>
      <w:r w:rsidR="004A1BE6">
        <w:t xml:space="preserve">According to </w:t>
      </w:r>
      <w:r w:rsidR="00537CFF">
        <w:t>a</w:t>
      </w:r>
      <w:r w:rsidR="007E2744">
        <w:t xml:space="preserve"> survey conducted by </w:t>
      </w:r>
      <w:r w:rsidR="008B7938" w:rsidRPr="008B7938">
        <w:t xml:space="preserve">Financial Services Information Sharing and Analysis </w:t>
      </w:r>
      <w:proofErr w:type="spellStart"/>
      <w:r w:rsidR="008B7938" w:rsidRPr="008B7938">
        <w:t>Center</w:t>
      </w:r>
      <w:proofErr w:type="spellEnd"/>
      <w:r w:rsidR="008B7938" w:rsidRPr="008B7938">
        <w:t xml:space="preserve"> </w:t>
      </w:r>
      <w:r w:rsidR="008B7938">
        <w:t>(</w:t>
      </w:r>
      <w:r w:rsidR="007E2744">
        <w:t>FS-ISAC</w:t>
      </w:r>
      <w:r w:rsidR="003E3C2B">
        <w:t>, 2020</w:t>
      </w:r>
      <w:r w:rsidR="008B7938">
        <w:t>)</w:t>
      </w:r>
      <w:r w:rsidR="007E2744">
        <w:t xml:space="preserve"> </w:t>
      </w:r>
      <w:r w:rsidR="00537CFF">
        <w:t xml:space="preserve">among </w:t>
      </w:r>
      <w:r w:rsidR="00714FF8">
        <w:t>financial institutions</w:t>
      </w:r>
      <w:r w:rsidR="004A1BE6">
        <w:t>,</w:t>
      </w:r>
      <w:r w:rsidR="00714FF8">
        <w:t xml:space="preserve"> </w:t>
      </w:r>
      <w:r w:rsidR="004A1BE6">
        <w:t xml:space="preserve">there has been </w:t>
      </w:r>
      <w:r w:rsidR="00714FF8">
        <w:t>a substantial increase in phishing, suspicious scanning</w:t>
      </w:r>
      <w:r w:rsidR="00B7080A">
        <w:t xml:space="preserve"> and </w:t>
      </w:r>
      <w:r w:rsidR="00714FF8" w:rsidRPr="00714FF8">
        <w:t xml:space="preserve">malicious activity against webpages for </w:t>
      </w:r>
      <w:r w:rsidR="00714FF8">
        <w:t>WFH</w:t>
      </w:r>
      <w:r w:rsidR="00714FF8" w:rsidRPr="00714FF8">
        <w:t xml:space="preserve"> staff to access </w:t>
      </w:r>
      <w:r w:rsidR="00714FF8">
        <w:t>the</w:t>
      </w:r>
      <w:r w:rsidR="00714FF8" w:rsidRPr="00714FF8">
        <w:t xml:space="preserve"> network</w:t>
      </w:r>
      <w:r w:rsidR="00714FF8">
        <w:t xml:space="preserve">. </w:t>
      </w:r>
      <w:r w:rsidR="004A1BE6">
        <w:t>P</w:t>
      </w:r>
      <w:r w:rsidR="00714FF8">
        <w:t xml:space="preserve">ayment firms, insurance companies and credit unions </w:t>
      </w:r>
      <w:r w:rsidR="007003C2">
        <w:t xml:space="preserve">have seen </w:t>
      </w:r>
      <w:r w:rsidR="004A1BE6">
        <w:t xml:space="preserve">the strongest increase </w:t>
      </w:r>
      <w:r w:rsidR="002D0D3B">
        <w:t>(</w:t>
      </w:r>
      <w:r w:rsidR="003E3C2B">
        <w:t xml:space="preserve">Aldasoro, Frost, Gambacorta and Whyte, 2020). </w:t>
      </w:r>
    </w:p>
    <w:p w14:paraId="2EFE77B0" w14:textId="77777777" w:rsidR="008A54D8" w:rsidRPr="00AC484E" w:rsidRDefault="003637C3" w:rsidP="001908F9">
      <w:pPr>
        <w:spacing w:after="160" w:line="259" w:lineRule="auto"/>
        <w:jc w:val="both"/>
      </w:pPr>
      <w:r w:rsidRPr="006E2517">
        <w:t>The costs of c</w:t>
      </w:r>
      <w:r w:rsidR="008A54D8" w:rsidRPr="006E2517">
        <w:t xml:space="preserve">yber incidents </w:t>
      </w:r>
      <w:r w:rsidR="007003C2">
        <w:t xml:space="preserve">more generally </w:t>
      </w:r>
      <w:r w:rsidR="008A54D8" w:rsidRPr="006E2517">
        <w:t xml:space="preserve">are difficult to quantify. One limitation is the </w:t>
      </w:r>
      <w:r w:rsidR="00CB055E" w:rsidRPr="006E2517">
        <w:t>paucity</w:t>
      </w:r>
      <w:r w:rsidR="006C7711" w:rsidRPr="006E2517">
        <w:t xml:space="preserve"> of </w:t>
      </w:r>
      <w:r w:rsidR="008A54D8" w:rsidRPr="006E2517">
        <w:t>data</w:t>
      </w:r>
      <w:r w:rsidR="006C7711" w:rsidRPr="006E2517">
        <w:t>. This is</w:t>
      </w:r>
      <w:r w:rsidR="006C7711" w:rsidRPr="006E2517" w:rsidDel="0045331C">
        <w:t xml:space="preserve"> </w:t>
      </w:r>
      <w:r w:rsidR="006C7711" w:rsidRPr="006E2517">
        <w:t>due</w:t>
      </w:r>
      <w:r w:rsidR="003743EF">
        <w:t>, in particular,</w:t>
      </w:r>
      <w:r w:rsidR="006C7711" w:rsidRPr="006E2517">
        <w:t xml:space="preserve"> to the lack of a common standard</w:t>
      </w:r>
      <w:r w:rsidR="008A54D8" w:rsidRPr="006E2517">
        <w:t xml:space="preserve"> </w:t>
      </w:r>
      <w:r w:rsidR="00FF398C" w:rsidRPr="006E2517">
        <w:t xml:space="preserve">for </w:t>
      </w:r>
      <w:r w:rsidR="008A54D8" w:rsidRPr="006E2517">
        <w:t>record</w:t>
      </w:r>
      <w:r w:rsidR="00FF398C" w:rsidRPr="006E2517">
        <w:t>ing</w:t>
      </w:r>
      <w:r w:rsidR="008A54D8" w:rsidRPr="006E2517">
        <w:t xml:space="preserve"> them</w:t>
      </w:r>
      <w:r w:rsidR="003743EF">
        <w:t xml:space="preserve"> and</w:t>
      </w:r>
      <w:r w:rsidR="00737119" w:rsidRPr="006E2517">
        <w:t>, importantly</w:t>
      </w:r>
      <w:r w:rsidR="003743EF">
        <w:t>,</w:t>
      </w:r>
      <w:r w:rsidR="00FF398C" w:rsidRPr="006E2517">
        <w:t xml:space="preserve"> </w:t>
      </w:r>
      <w:r w:rsidR="00737119" w:rsidRPr="006E2517">
        <w:t>to</w:t>
      </w:r>
      <w:r w:rsidR="006C7711" w:rsidRPr="006E2517" w:rsidDel="00737119">
        <w:t xml:space="preserve"> </w:t>
      </w:r>
      <w:r w:rsidR="003743EF">
        <w:t xml:space="preserve">the victims’ </w:t>
      </w:r>
      <w:r w:rsidR="00A24F0E" w:rsidRPr="006E2517">
        <w:t>reluctance</w:t>
      </w:r>
      <w:r w:rsidR="00737119" w:rsidRPr="006E2517">
        <w:t xml:space="preserve"> </w:t>
      </w:r>
      <w:r w:rsidR="006C7711" w:rsidRPr="006E2517">
        <w:t>to report due to reputational concerns</w:t>
      </w:r>
      <w:r w:rsidR="008A54D8" w:rsidRPr="006E2517">
        <w:t>. For example, in the United Kingdom</w:t>
      </w:r>
      <w:r w:rsidR="003E73AE" w:rsidRPr="006E2517">
        <w:t>,</w:t>
      </w:r>
      <w:r w:rsidR="008A54D8" w:rsidRPr="006E2517">
        <w:t xml:space="preserve"> only 49 </w:t>
      </w:r>
      <w:proofErr w:type="spellStart"/>
      <w:r w:rsidR="008A54D8" w:rsidRPr="006E2517">
        <w:t>cyber</w:t>
      </w:r>
      <w:r w:rsidR="002F4155" w:rsidRPr="006E2517">
        <w:t xml:space="preserve"> </w:t>
      </w:r>
      <w:r w:rsidR="008A54D8" w:rsidRPr="006E2517">
        <w:t>attacks</w:t>
      </w:r>
      <w:proofErr w:type="spellEnd"/>
      <w:r w:rsidR="008A54D8" w:rsidRPr="006E2517">
        <w:t xml:space="preserve"> were reported to </w:t>
      </w:r>
      <w:r w:rsidRPr="006E2517">
        <w:t>f</w:t>
      </w:r>
      <w:r w:rsidR="008A54D8" w:rsidRPr="006E2517">
        <w:t xml:space="preserve">inancial </w:t>
      </w:r>
      <w:r w:rsidRPr="006E2517">
        <w:t>a</w:t>
      </w:r>
      <w:r w:rsidR="008A54D8" w:rsidRPr="006E2517">
        <w:t>uthorities</w:t>
      </w:r>
      <w:r w:rsidR="003E73AE" w:rsidRPr="006E2517">
        <w:t xml:space="preserve"> in 2017</w:t>
      </w:r>
      <w:r w:rsidR="009B6856">
        <w:t xml:space="preserve"> (Butler, 2017)</w:t>
      </w:r>
      <w:r w:rsidR="008A54D8" w:rsidRPr="00AC484E">
        <w:t>.</w:t>
      </w:r>
    </w:p>
    <w:p w14:paraId="73425AC6" w14:textId="77777777" w:rsidR="00D2541C" w:rsidRPr="006E2517" w:rsidRDefault="008A54D8" w:rsidP="001908F9">
      <w:pPr>
        <w:spacing w:after="160" w:line="259" w:lineRule="auto"/>
        <w:jc w:val="both"/>
      </w:pPr>
      <w:r w:rsidRPr="00AC484E">
        <w:t xml:space="preserve">Using a unique database of more than 100,000 cyber </w:t>
      </w:r>
      <w:r w:rsidR="00260F65" w:rsidRPr="00AC484E">
        <w:t xml:space="preserve">incidents </w:t>
      </w:r>
      <w:r w:rsidRPr="00AC484E">
        <w:t>across sectors</w:t>
      </w:r>
      <w:r w:rsidR="00B67DB7" w:rsidRPr="00AC484E">
        <w:t>,</w:t>
      </w:r>
      <w:r w:rsidRPr="00AC484E">
        <w:t xml:space="preserve"> </w:t>
      </w:r>
      <w:r w:rsidR="009B6856">
        <w:t xml:space="preserve">Aldasoro </w:t>
      </w:r>
      <w:r w:rsidR="00ED6B6D">
        <w:t>et al.</w:t>
      </w:r>
      <w:r w:rsidR="009B6856">
        <w:t xml:space="preserve"> (2020b)</w:t>
      </w:r>
      <w:r w:rsidRPr="00AC484E">
        <w:t xml:space="preserve"> documents the main drivers </w:t>
      </w:r>
      <w:r w:rsidR="00D2541C" w:rsidRPr="00AC484E">
        <w:t>and costs</w:t>
      </w:r>
      <w:r w:rsidR="00D2541C" w:rsidRPr="00AC484E" w:rsidDel="00321B6A">
        <w:t xml:space="preserve"> </w:t>
      </w:r>
      <w:r w:rsidR="001D013B">
        <w:t xml:space="preserve">of cyber incidents </w:t>
      </w:r>
      <w:r w:rsidRPr="00AC484E">
        <w:t>(</w:t>
      </w:r>
      <w:r w:rsidR="009B6856">
        <w:t xml:space="preserve">for more details see </w:t>
      </w:r>
      <w:r w:rsidRPr="00AC484E">
        <w:t>Box A).</w:t>
      </w:r>
      <w:r w:rsidR="000547AC" w:rsidRPr="00AC484E">
        <w:rPr>
          <w:rStyle w:val="FootnoteReference"/>
        </w:rPr>
        <w:footnoteReference w:id="8"/>
      </w:r>
      <w:r w:rsidR="00774328" w:rsidRPr="00AC484E">
        <w:t>  </w:t>
      </w:r>
      <w:r w:rsidR="001D013B">
        <w:t>For the firms affected, t</w:t>
      </w:r>
      <w:r w:rsidRPr="00AC484E">
        <w:t xml:space="preserve">he average cost </w:t>
      </w:r>
      <w:r w:rsidR="00892678" w:rsidRPr="00AC484E">
        <w:t xml:space="preserve">per incident </w:t>
      </w:r>
      <w:r w:rsidR="003E22F2" w:rsidRPr="00AC484E">
        <w:t>across all industries</w:t>
      </w:r>
      <w:r w:rsidR="00260F65" w:rsidRPr="00AC484E" w:rsidDel="00260F65">
        <w:t xml:space="preserve"> </w:t>
      </w:r>
      <w:r w:rsidR="00F87535" w:rsidRPr="00AC484E">
        <w:t xml:space="preserve">over the </w:t>
      </w:r>
      <w:r w:rsidR="00FD3BF2" w:rsidRPr="00AC484E">
        <w:t>2002</w:t>
      </w:r>
      <w:r w:rsidR="00FF398C" w:rsidRPr="00AC484E">
        <w:t>–</w:t>
      </w:r>
      <w:r w:rsidR="00B51F31" w:rsidRPr="00AC484E">
        <w:t xml:space="preserve">19 </w:t>
      </w:r>
      <w:r w:rsidR="0029472F" w:rsidRPr="00AC484E">
        <w:t xml:space="preserve">period </w:t>
      </w:r>
      <w:r w:rsidR="00D2541C" w:rsidRPr="00AC484E">
        <w:t>w</w:t>
      </w:r>
      <w:r w:rsidR="00FD3BF2" w:rsidRPr="00AC484E">
        <w:t xml:space="preserve">as </w:t>
      </w:r>
      <w:r w:rsidR="00FF398C" w:rsidRPr="00AC484E">
        <w:t>$</w:t>
      </w:r>
      <w:r w:rsidR="00D2541C" w:rsidRPr="00AC484E">
        <w:t>2.6</w:t>
      </w:r>
      <w:r w:rsidR="00D2541C" w:rsidRPr="006E2517">
        <w:t xml:space="preserve"> million. </w:t>
      </w:r>
      <w:r w:rsidR="001D013B">
        <w:t>While the</w:t>
      </w:r>
      <w:r w:rsidR="001D013B" w:rsidRPr="006E2517">
        <w:t xml:space="preserve"> </w:t>
      </w:r>
      <w:r w:rsidR="00D2541C" w:rsidRPr="006E2517">
        <w:t xml:space="preserve">average frequency was around </w:t>
      </w:r>
      <w:r w:rsidR="00FF398C" w:rsidRPr="006E2517">
        <w:t>six</w:t>
      </w:r>
      <w:r w:rsidR="00D2541C" w:rsidRPr="006E2517">
        <w:t xml:space="preserve"> times </w:t>
      </w:r>
      <w:r w:rsidR="000547AC" w:rsidRPr="006E2517">
        <w:t xml:space="preserve">higher </w:t>
      </w:r>
      <w:r w:rsidR="00D2541C" w:rsidRPr="006E2517">
        <w:t xml:space="preserve">for the financial sector, the cost was lower, at around </w:t>
      </w:r>
      <w:r w:rsidR="00FF398C" w:rsidRPr="006E2517">
        <w:t>$</w:t>
      </w:r>
      <w:r w:rsidR="00D2541C" w:rsidRPr="006E2517">
        <w:t>1.7 million, probably due to regulat</w:t>
      </w:r>
      <w:r w:rsidR="007003C2">
        <w:t xml:space="preserve">ion </w:t>
      </w:r>
      <w:r w:rsidR="00D2541C" w:rsidRPr="006E2517">
        <w:t xml:space="preserve">and </w:t>
      </w:r>
      <w:r w:rsidR="000547AC" w:rsidRPr="006E2517">
        <w:t>supervis</w:t>
      </w:r>
      <w:r w:rsidR="007003C2">
        <w:t>ion</w:t>
      </w:r>
      <w:r w:rsidR="00D2541C" w:rsidRPr="006E2517">
        <w:t>. Fraud accounts for 49</w:t>
      </w:r>
      <w:r w:rsidR="002A6723" w:rsidRPr="006E2517">
        <w:t>%</w:t>
      </w:r>
      <w:r w:rsidR="00D2541C" w:rsidRPr="006E2517" w:rsidDel="002A6723">
        <w:t xml:space="preserve"> </w:t>
      </w:r>
      <w:r w:rsidR="00D2541C" w:rsidRPr="006E2517">
        <w:t xml:space="preserve">of events, data breaches </w:t>
      </w:r>
      <w:r w:rsidR="000547AC" w:rsidRPr="006E2517">
        <w:t xml:space="preserve">for </w:t>
      </w:r>
      <w:r w:rsidR="00D2541C" w:rsidRPr="006E2517">
        <w:t>46</w:t>
      </w:r>
      <w:r w:rsidR="002A6723" w:rsidRPr="006E2517">
        <w:t>%</w:t>
      </w:r>
      <w:r w:rsidR="00D2541C" w:rsidRPr="006E2517">
        <w:t xml:space="preserve"> and business disruption </w:t>
      </w:r>
      <w:r w:rsidR="000547AC" w:rsidRPr="006E2517">
        <w:t xml:space="preserve">for </w:t>
      </w:r>
      <w:r w:rsidR="007003C2">
        <w:t xml:space="preserve">the remaining </w:t>
      </w:r>
      <w:r w:rsidR="00D2541C" w:rsidRPr="006E2517">
        <w:t>5</w:t>
      </w:r>
      <w:r w:rsidR="002A6723" w:rsidRPr="006E2517">
        <w:t>%</w:t>
      </w:r>
      <w:r w:rsidR="00D2541C" w:rsidRPr="006E2517">
        <w:t xml:space="preserve"> (</w:t>
      </w:r>
      <w:r w:rsidR="0090766B">
        <w:t>61</w:t>
      </w:r>
      <w:r w:rsidR="002A6723" w:rsidRPr="006E2517">
        <w:t>%</w:t>
      </w:r>
      <w:r w:rsidR="00D2541C" w:rsidRPr="006E2517">
        <w:t xml:space="preserve">, </w:t>
      </w:r>
      <w:r w:rsidR="0090766B">
        <w:t>37</w:t>
      </w:r>
      <w:r w:rsidR="002A6723" w:rsidRPr="006E2517">
        <w:t>%</w:t>
      </w:r>
      <w:r w:rsidR="00D2541C" w:rsidRPr="006E2517">
        <w:t xml:space="preserve"> and 2</w:t>
      </w:r>
      <w:r w:rsidR="002A6723" w:rsidRPr="006E2517">
        <w:t>%</w:t>
      </w:r>
      <w:r w:rsidR="00D2541C" w:rsidRPr="006E2517">
        <w:t xml:space="preserve"> in the financial sector</w:t>
      </w:r>
      <w:r w:rsidR="007003C2">
        <w:t>, respectively</w:t>
      </w:r>
      <w:r w:rsidR="00D2541C" w:rsidRPr="006E2517">
        <w:t xml:space="preserve">). </w:t>
      </w:r>
      <w:proofErr w:type="spellStart"/>
      <w:r w:rsidR="007003C2">
        <w:t>C</w:t>
      </w:r>
      <w:r w:rsidR="00481706" w:rsidRPr="006E2517">
        <w:t>yber</w:t>
      </w:r>
      <w:r w:rsidR="002F4155" w:rsidRPr="006E2517">
        <w:t xml:space="preserve"> </w:t>
      </w:r>
      <w:r w:rsidR="00481706" w:rsidRPr="006E2517">
        <w:t>attacks</w:t>
      </w:r>
      <w:proofErr w:type="spellEnd"/>
      <w:r w:rsidR="00481706" w:rsidRPr="006E2517">
        <w:t xml:space="preserve"> have, on average, </w:t>
      </w:r>
      <w:r w:rsidR="00FF398C" w:rsidRPr="006E2517">
        <w:t xml:space="preserve">lower </w:t>
      </w:r>
      <w:r w:rsidR="00481706" w:rsidRPr="006E2517">
        <w:t>costs</w:t>
      </w:r>
      <w:r w:rsidR="00B00700" w:rsidRPr="006E2517">
        <w:t>,</w:t>
      </w:r>
      <w:r w:rsidR="00481706" w:rsidRPr="006E2517">
        <w:t xml:space="preserve"> because most </w:t>
      </w:r>
      <w:r w:rsidR="007923EF" w:rsidRPr="006E2517">
        <w:t>incidents simply</w:t>
      </w:r>
      <w:r w:rsidR="00481706" w:rsidRPr="006E2517">
        <w:t xml:space="preserve"> </w:t>
      </w:r>
      <w:r w:rsidR="000547AC" w:rsidRPr="006E2517">
        <w:t>reflect</w:t>
      </w:r>
      <w:r w:rsidR="00481706" w:rsidRPr="006E2517">
        <w:t xml:space="preserve"> general discontent. However, some </w:t>
      </w:r>
      <w:r w:rsidR="00FF398C" w:rsidRPr="006E2517">
        <w:t xml:space="preserve">actors </w:t>
      </w:r>
      <w:r w:rsidR="000547AC" w:rsidRPr="006E2517">
        <w:t xml:space="preserve">seek </w:t>
      </w:r>
      <w:r w:rsidR="00FF398C" w:rsidRPr="006E2517">
        <w:t xml:space="preserve">a </w:t>
      </w:r>
      <w:r w:rsidR="00481706" w:rsidRPr="006E2517">
        <w:t>profit</w:t>
      </w:r>
      <w:r w:rsidR="00481706" w:rsidRPr="006E2517" w:rsidDel="00737119">
        <w:t xml:space="preserve"> </w:t>
      </w:r>
      <w:r w:rsidR="00BD3E61" w:rsidRPr="006E2517">
        <w:t>or to</w:t>
      </w:r>
      <w:r w:rsidR="007923EF" w:rsidRPr="006E2517">
        <w:t xml:space="preserve"> </w:t>
      </w:r>
      <w:r w:rsidR="00FF398C" w:rsidRPr="006E2517">
        <w:t xml:space="preserve">inflict </w:t>
      </w:r>
      <w:r w:rsidR="007923EF" w:rsidRPr="006E2517">
        <w:t xml:space="preserve">the </w:t>
      </w:r>
      <w:r w:rsidR="00481706" w:rsidRPr="006E2517">
        <w:t>largest</w:t>
      </w:r>
      <w:r w:rsidR="00BD3E61" w:rsidRPr="006E2517">
        <w:t xml:space="preserve"> possible</w:t>
      </w:r>
      <w:r w:rsidR="00481706" w:rsidRPr="006E2517">
        <w:t xml:space="preserve"> </w:t>
      </w:r>
      <w:r w:rsidR="000931FB" w:rsidRPr="006E2517">
        <w:t>losses</w:t>
      </w:r>
      <w:r w:rsidR="00BD3E61" w:rsidRPr="006E2517">
        <w:t xml:space="preserve"> and damage</w:t>
      </w:r>
      <w:r w:rsidR="001B791D" w:rsidRPr="006E2517">
        <w:t xml:space="preserve">. </w:t>
      </w:r>
      <w:r w:rsidR="00D2541C" w:rsidRPr="006E2517">
        <w:t xml:space="preserve">Incidents related to crypto-exchanges, which are largely unregulated, </w:t>
      </w:r>
      <w:r w:rsidR="000547AC" w:rsidRPr="006E2517">
        <w:t>produce</w:t>
      </w:r>
      <w:r w:rsidR="00D2541C" w:rsidRPr="006E2517">
        <w:t xml:space="preserve"> higher losses. </w:t>
      </w:r>
    </w:p>
    <w:p w14:paraId="53A154D7" w14:textId="77777777" w:rsidR="008C57A8" w:rsidRDefault="008C57A8">
      <w:pPr>
        <w:spacing w:after="160" w:line="259" w:lineRule="auto"/>
      </w:pPr>
      <w:r>
        <w:br w:type="page"/>
      </w:r>
    </w:p>
    <w:p w14:paraId="6F40A022" w14:textId="77777777" w:rsidR="008C57A8" w:rsidRPr="006E2517" w:rsidRDefault="008C57A8" w:rsidP="008C57A8">
      <w:pPr>
        <w:pStyle w:val="Paragraph"/>
        <w:ind w:firstLine="0"/>
      </w:pPr>
    </w:p>
    <w:tbl>
      <w:tblPr>
        <w:tblStyle w:val="TableGrid"/>
        <w:tblpPr w:leftFromText="180" w:rightFromText="180" w:topFromText="120" w:bottomFromText="240" w:vertAnchor="text" w:tblpXSpec="right" w:tblpY="121"/>
        <w:tblOverlap w:val="never"/>
        <w:tblW w:w="9582" w:type="dxa"/>
        <w:tblBorders>
          <w:top w:val="single" w:sz="4" w:space="0" w:color="BCBDBC"/>
          <w:left w:val="single" w:sz="4" w:space="0" w:color="BCBDBC"/>
          <w:bottom w:val="single" w:sz="4" w:space="0" w:color="BCBDBC"/>
          <w:right w:val="single" w:sz="4" w:space="0" w:color="BCBDBC"/>
          <w:insideH w:val="none" w:sz="0" w:space="0" w:color="auto"/>
          <w:insideV w:val="none" w:sz="0" w:space="0" w:color="auto"/>
        </w:tblBorders>
        <w:tblLayout w:type="fixed"/>
        <w:tblCellMar>
          <w:left w:w="170" w:type="dxa"/>
          <w:right w:w="170" w:type="dxa"/>
        </w:tblCellMar>
        <w:tblLook w:val="04A0" w:firstRow="1" w:lastRow="0" w:firstColumn="1" w:lastColumn="0" w:noHBand="0" w:noVBand="1"/>
      </w:tblPr>
      <w:tblGrid>
        <w:gridCol w:w="9582"/>
      </w:tblGrid>
      <w:tr w:rsidR="0093790D" w:rsidRPr="00503EC4" w14:paraId="0AC87108" w14:textId="77777777" w:rsidTr="008C57A8">
        <w:trPr>
          <w:trHeight w:val="413"/>
        </w:trPr>
        <w:tc>
          <w:tcPr>
            <w:tcW w:w="9582" w:type="dxa"/>
            <w:tcMar>
              <w:top w:w="0" w:type="dxa"/>
              <w:left w:w="170" w:type="dxa"/>
              <w:bottom w:w="0" w:type="dxa"/>
              <w:right w:w="170" w:type="dxa"/>
            </w:tcMar>
          </w:tcPr>
          <w:p w14:paraId="1D4C2500" w14:textId="77777777" w:rsidR="0093790D" w:rsidRPr="006E2517" w:rsidRDefault="0093790D" w:rsidP="00B1127E">
            <w:pPr>
              <w:pStyle w:val="BoxNumber"/>
            </w:pPr>
            <w:r w:rsidRPr="006E2517">
              <w:t>Box A</w:t>
            </w:r>
          </w:p>
          <w:p w14:paraId="0D34332A" w14:textId="77777777" w:rsidR="0093790D" w:rsidRPr="006E2517" w:rsidRDefault="0093790D" w:rsidP="00BC5068">
            <w:pPr>
              <w:pStyle w:val="BoxTitle"/>
              <w:spacing w:before="120" w:after="120"/>
              <w:rPr>
                <w:rFonts w:cs="Segoe UI"/>
              </w:rPr>
            </w:pPr>
            <w:bookmarkStart w:id="2" w:name="_Toc380770705"/>
            <w:r w:rsidRPr="006E2517">
              <w:rPr>
                <w:rFonts w:cs="Segoe UI"/>
                <w:color w:val="AA322F"/>
              </w:rPr>
              <w:t xml:space="preserve">Trends and drivers of cyber </w:t>
            </w:r>
            <w:r w:rsidR="007C275D" w:rsidRPr="006E2517">
              <w:rPr>
                <w:rFonts w:cs="Segoe UI"/>
                <w:color w:val="AA322F"/>
              </w:rPr>
              <w:t>costs</w:t>
            </w:r>
            <w:r w:rsidRPr="006E2517">
              <w:rPr>
                <w:rFonts w:cs="Segoe UI"/>
                <w:color w:val="AA322F"/>
              </w:rPr>
              <w:t>: is the financial sector different?</w:t>
            </w:r>
            <w:bookmarkEnd w:id="2"/>
          </w:p>
          <w:p w14:paraId="269B94A5" w14:textId="77777777" w:rsidR="002134CF" w:rsidRDefault="0093790D" w:rsidP="00B1127E">
            <w:pPr>
              <w:pStyle w:val="BoxParagraph"/>
              <w:ind w:firstLine="0"/>
            </w:pPr>
            <w:r w:rsidRPr="006E2517">
              <w:rPr>
                <w:rFonts w:cs="Segoe UI"/>
              </w:rPr>
              <w:t>Despite growing attention, little is known about cyber incidents, their</w:t>
            </w:r>
            <w:r w:rsidR="000079AE" w:rsidRPr="006E2517">
              <w:rPr>
                <w:rFonts w:cs="Segoe UI"/>
              </w:rPr>
              <w:t xml:space="preserve"> </w:t>
            </w:r>
            <w:r w:rsidRPr="006E2517">
              <w:rPr>
                <w:rFonts w:cs="Segoe UI"/>
              </w:rPr>
              <w:t>drivers</w:t>
            </w:r>
            <w:r w:rsidR="000079AE" w:rsidRPr="006E2517">
              <w:rPr>
                <w:rFonts w:cs="Segoe UI"/>
              </w:rPr>
              <w:t>, costs</w:t>
            </w:r>
            <w:r w:rsidRPr="006E2517">
              <w:rPr>
                <w:rFonts w:cs="Segoe UI"/>
              </w:rPr>
              <w:t xml:space="preserve"> and mitigating factors. </w:t>
            </w:r>
            <w:r w:rsidR="00EA5BA8" w:rsidRPr="006E2517">
              <w:rPr>
                <w:rFonts w:cs="Segoe UI"/>
              </w:rPr>
              <w:t>A r</w:t>
            </w:r>
            <w:r w:rsidRPr="006E2517">
              <w:rPr>
                <w:rFonts w:cs="Segoe UI"/>
              </w:rPr>
              <w:t xml:space="preserve">ecent </w:t>
            </w:r>
            <w:r w:rsidR="00A24F0E" w:rsidRPr="006E2517">
              <w:rPr>
                <w:rFonts w:cs="Segoe UI"/>
              </w:rPr>
              <w:t xml:space="preserve">study </w:t>
            </w:r>
            <w:r w:rsidR="00155FCF">
              <w:rPr>
                <w:rFonts w:cs="Segoe UI"/>
              </w:rPr>
              <w:t xml:space="preserve">by Aldasoro </w:t>
            </w:r>
            <w:r w:rsidR="00ED6B6D">
              <w:rPr>
                <w:rFonts w:cs="Segoe UI"/>
              </w:rPr>
              <w:t>et al.</w:t>
            </w:r>
            <w:r w:rsidR="00155FCF">
              <w:rPr>
                <w:rFonts w:cs="Segoe UI"/>
              </w:rPr>
              <w:t xml:space="preserve"> (2020b) </w:t>
            </w:r>
            <w:r w:rsidR="00A24F0E" w:rsidRPr="006E2517">
              <w:rPr>
                <w:rFonts w:cs="Segoe UI"/>
              </w:rPr>
              <w:t xml:space="preserve">investigates the drivers of cyber costs across sectors using a unique data set </w:t>
            </w:r>
            <w:r w:rsidR="00AD3466">
              <w:rPr>
                <w:rFonts w:cs="Segoe UI"/>
              </w:rPr>
              <w:t xml:space="preserve">from </w:t>
            </w:r>
            <w:proofErr w:type="spellStart"/>
            <w:r w:rsidR="00AD3466">
              <w:rPr>
                <w:rFonts w:cs="Segoe UI"/>
              </w:rPr>
              <w:t>Advisen</w:t>
            </w:r>
            <w:proofErr w:type="spellEnd"/>
            <w:r w:rsidR="00AD3466">
              <w:rPr>
                <w:rFonts w:cs="Segoe UI"/>
              </w:rPr>
              <w:t xml:space="preserve"> </w:t>
            </w:r>
            <w:r w:rsidR="00A24F0E" w:rsidRPr="006E2517">
              <w:rPr>
                <w:rFonts w:cs="Segoe UI"/>
              </w:rPr>
              <w:t>of over 100,000 cyber incidents.</w:t>
            </w:r>
          </w:p>
          <w:p w14:paraId="39A2553C" w14:textId="77777777" w:rsidR="0093790D" w:rsidRPr="006E2517" w:rsidRDefault="0093790D" w:rsidP="00155FCF">
            <w:pPr>
              <w:pStyle w:val="BoxParagraph"/>
              <w:ind w:firstLine="0"/>
              <w:rPr>
                <w:rFonts w:cs="Segoe UI"/>
              </w:rPr>
            </w:pPr>
            <w:r w:rsidRPr="006E2517">
              <w:rPr>
                <w:rFonts w:cs="Segoe UI"/>
              </w:rPr>
              <w:t>The</w:t>
            </w:r>
            <w:r w:rsidR="00834ADB" w:rsidRPr="006E2517">
              <w:rPr>
                <w:rFonts w:cs="Segoe UI"/>
              </w:rPr>
              <w:t xml:space="preserve"> </w:t>
            </w:r>
            <w:r w:rsidRPr="006E2517">
              <w:rPr>
                <w:rFonts w:cs="Segoe UI"/>
              </w:rPr>
              <w:t xml:space="preserve">frequency of cyber incidents </w:t>
            </w:r>
            <w:r w:rsidR="00FF2E72" w:rsidRPr="006E2517">
              <w:rPr>
                <w:rFonts w:cs="Segoe UI"/>
              </w:rPr>
              <w:t xml:space="preserve">rose </w:t>
            </w:r>
            <w:r w:rsidRPr="006E2517">
              <w:rPr>
                <w:rFonts w:cs="Segoe UI"/>
              </w:rPr>
              <w:t xml:space="preserve">strongly in the decade to 2016, </w:t>
            </w:r>
            <w:r w:rsidR="000079AE" w:rsidRPr="006E2517">
              <w:rPr>
                <w:rFonts w:cs="Segoe UI"/>
              </w:rPr>
              <w:t xml:space="preserve">but </w:t>
            </w:r>
            <w:r w:rsidRPr="006E2517">
              <w:rPr>
                <w:rFonts w:cs="Segoe UI"/>
              </w:rPr>
              <w:t xml:space="preserve">has since </w:t>
            </w:r>
            <w:r w:rsidR="000547AC" w:rsidRPr="006E2517">
              <w:rPr>
                <w:rFonts w:cs="Segoe UI"/>
              </w:rPr>
              <w:t xml:space="preserve">receded </w:t>
            </w:r>
            <w:r w:rsidRPr="006E2517">
              <w:rPr>
                <w:rFonts w:cs="Segoe UI"/>
              </w:rPr>
              <w:t xml:space="preserve">somewhat </w:t>
            </w:r>
            <w:r w:rsidR="00134B0A">
              <w:rPr>
                <w:rFonts w:cs="Segoe UI"/>
              </w:rPr>
              <w:br/>
            </w:r>
            <w:r w:rsidRPr="006E2517">
              <w:rPr>
                <w:rFonts w:cs="Segoe UI"/>
              </w:rPr>
              <w:t>(Graph A1, left-hand panel). Th</w:t>
            </w:r>
            <w:r w:rsidR="00FF2E72" w:rsidRPr="006E2517">
              <w:rPr>
                <w:rFonts w:cs="Segoe UI"/>
              </w:rPr>
              <w:t>is</w:t>
            </w:r>
            <w:r w:rsidRPr="006E2517">
              <w:rPr>
                <w:rFonts w:cs="Segoe UI"/>
              </w:rPr>
              <w:t xml:space="preserve"> </w:t>
            </w:r>
            <w:r w:rsidR="00FF2E72" w:rsidRPr="006E2517">
              <w:rPr>
                <w:rFonts w:cs="Segoe UI"/>
              </w:rPr>
              <w:t>reduction</w:t>
            </w:r>
            <w:r w:rsidRPr="006E2517">
              <w:rPr>
                <w:rFonts w:cs="Segoe UI"/>
              </w:rPr>
              <w:t xml:space="preserve"> could </w:t>
            </w:r>
            <w:r w:rsidR="000547AC" w:rsidRPr="006E2517">
              <w:rPr>
                <w:rFonts w:cs="Segoe UI"/>
              </w:rPr>
              <w:t>reflect</w:t>
            </w:r>
            <w:r w:rsidRPr="006E2517">
              <w:rPr>
                <w:rFonts w:cs="Segoe UI"/>
              </w:rPr>
              <w:t xml:space="preserve"> increased investment in cyber security, but also delays in discovery</w:t>
            </w:r>
            <w:r w:rsidR="000547AC" w:rsidRPr="006E2517">
              <w:rPr>
                <w:rFonts w:cs="Segoe UI"/>
              </w:rPr>
              <w:t xml:space="preserve"> or reporting</w:t>
            </w:r>
            <w:r w:rsidRPr="006E2517">
              <w:rPr>
                <w:rFonts w:cs="Segoe UI"/>
              </w:rPr>
              <w:t xml:space="preserve">. </w:t>
            </w:r>
          </w:p>
          <w:p w14:paraId="23ACA9BA" w14:textId="77777777" w:rsidR="0093790D" w:rsidRPr="006E2517" w:rsidRDefault="0093790D" w:rsidP="00155FCF">
            <w:pPr>
              <w:pStyle w:val="BoxParagraph"/>
              <w:ind w:firstLine="0"/>
              <w:rPr>
                <w:rFonts w:cs="Segoe UI"/>
              </w:rPr>
            </w:pPr>
            <w:r w:rsidRPr="006E2517">
              <w:rPr>
                <w:rFonts w:cs="Segoe UI"/>
              </w:rPr>
              <w:t xml:space="preserve">Cyber incidents </w:t>
            </w:r>
            <w:r w:rsidR="000079AE" w:rsidRPr="006E2517">
              <w:rPr>
                <w:rFonts w:cs="Segoe UI"/>
              </w:rPr>
              <w:t xml:space="preserve">are </w:t>
            </w:r>
            <w:r w:rsidRPr="006E2517">
              <w:rPr>
                <w:rFonts w:cs="Segoe UI"/>
              </w:rPr>
              <w:t>more frequent in the financial sector</w:t>
            </w:r>
            <w:r w:rsidR="000547AC" w:rsidRPr="006E2517">
              <w:rPr>
                <w:rFonts w:cs="Segoe UI"/>
              </w:rPr>
              <w:t>.</w:t>
            </w:r>
            <w:r w:rsidRPr="006E2517" w:rsidDel="000547AC">
              <w:rPr>
                <w:rFonts w:cs="Segoe UI"/>
              </w:rPr>
              <w:t xml:space="preserve"> </w:t>
            </w:r>
            <w:r w:rsidR="00A70571">
              <w:rPr>
                <w:rFonts w:cs="Segoe UI"/>
              </w:rPr>
              <w:t>A</w:t>
            </w:r>
            <w:r w:rsidRPr="006E2517">
              <w:rPr>
                <w:rFonts w:cs="Segoe UI"/>
              </w:rPr>
              <w:t xml:space="preserve"> quarter of all cyber incidents </w:t>
            </w:r>
            <w:r w:rsidR="002134CF">
              <w:rPr>
                <w:rFonts w:cs="Segoe UI"/>
              </w:rPr>
              <w:t>affected</w:t>
            </w:r>
            <w:r w:rsidRPr="006E2517">
              <w:rPr>
                <w:rFonts w:cs="Segoe UI"/>
              </w:rPr>
              <w:t xml:space="preserve"> the finance and insurance sector (F</w:t>
            </w:r>
            <w:r w:rsidR="000547AC" w:rsidRPr="006E2517">
              <w:rPr>
                <w:rFonts w:cs="Segoe UI"/>
              </w:rPr>
              <w:t>&amp;</w:t>
            </w:r>
            <w:r w:rsidRPr="006E2517">
              <w:rPr>
                <w:rFonts w:cs="Segoe UI"/>
              </w:rPr>
              <w:t xml:space="preserve">I) (second panel). </w:t>
            </w:r>
            <w:r w:rsidR="000079AE" w:rsidRPr="006E2517">
              <w:rPr>
                <w:rFonts w:cs="Segoe UI"/>
              </w:rPr>
              <w:t xml:space="preserve">While </w:t>
            </w:r>
            <w:r w:rsidR="000547AC" w:rsidRPr="006E2517">
              <w:rPr>
                <w:rFonts w:cs="Segoe UI"/>
              </w:rPr>
              <w:t>the</w:t>
            </w:r>
            <w:r w:rsidRPr="006E2517">
              <w:rPr>
                <w:rFonts w:cs="Segoe UI"/>
              </w:rPr>
              <w:t xml:space="preserve"> number</w:t>
            </w:r>
            <w:r w:rsidR="000547AC" w:rsidRPr="006E2517">
              <w:rPr>
                <w:rFonts w:cs="Segoe UI"/>
              </w:rPr>
              <w:t>s are higher</w:t>
            </w:r>
            <w:r w:rsidRPr="006E2517">
              <w:rPr>
                <w:rFonts w:cs="Segoe UI"/>
              </w:rPr>
              <w:t xml:space="preserve">, the </w:t>
            </w:r>
            <w:r w:rsidR="000547AC" w:rsidRPr="006E2517">
              <w:rPr>
                <w:rFonts w:cs="Segoe UI"/>
              </w:rPr>
              <w:t xml:space="preserve">corresponding </w:t>
            </w:r>
            <w:r w:rsidRPr="006E2517">
              <w:rPr>
                <w:rFonts w:cs="Segoe UI"/>
              </w:rPr>
              <w:t xml:space="preserve">gross losses are not necessarily larger. </w:t>
            </w:r>
            <w:r w:rsidR="002134CF">
              <w:rPr>
                <w:rFonts w:cs="Segoe UI"/>
              </w:rPr>
              <w:t>Fraud, notably in the form of p</w:t>
            </w:r>
            <w:r w:rsidRPr="006E2517">
              <w:rPr>
                <w:rFonts w:cs="Segoe UI"/>
              </w:rPr>
              <w:t>rivacy violations and phishing/skimming scams</w:t>
            </w:r>
            <w:r w:rsidR="002134CF">
              <w:rPr>
                <w:rFonts w:cs="Segoe UI"/>
              </w:rPr>
              <w:t xml:space="preserve">, is </w:t>
            </w:r>
            <w:r w:rsidRPr="006E2517">
              <w:rPr>
                <w:rFonts w:cs="Segoe UI"/>
              </w:rPr>
              <w:t xml:space="preserve">most frequent but least costly (third panel). Data breaches are both relatively frequent and costly, </w:t>
            </w:r>
            <w:r w:rsidR="000547AC" w:rsidRPr="006E2517">
              <w:rPr>
                <w:rFonts w:cs="Segoe UI"/>
              </w:rPr>
              <w:t xml:space="preserve">while </w:t>
            </w:r>
            <w:r w:rsidRPr="006E2517">
              <w:rPr>
                <w:rFonts w:cs="Segoe UI"/>
              </w:rPr>
              <w:t>business disruptions are quite infrequent but can have high costs.</w:t>
            </w:r>
          </w:p>
          <w:p w14:paraId="31F810A0" w14:textId="77777777" w:rsidR="00E73085" w:rsidRDefault="000547AC" w:rsidP="00155FCF">
            <w:pPr>
              <w:pStyle w:val="BoxParagraph"/>
              <w:ind w:firstLine="0"/>
              <w:rPr>
                <w:rFonts w:cs="Segoe UI"/>
              </w:rPr>
            </w:pPr>
            <w:r w:rsidRPr="006E2517">
              <w:rPr>
                <w:rFonts w:cs="Segoe UI"/>
              </w:rPr>
              <w:t xml:space="preserve">The study </w:t>
            </w:r>
            <w:r w:rsidR="00A24F0E" w:rsidRPr="006E2517">
              <w:rPr>
                <w:rFonts w:cs="Segoe UI"/>
              </w:rPr>
              <w:t xml:space="preserve">has </w:t>
            </w:r>
            <w:r w:rsidRPr="006E2517">
              <w:rPr>
                <w:rFonts w:cs="Segoe UI"/>
              </w:rPr>
              <w:t xml:space="preserve">several other findings. </w:t>
            </w:r>
            <w:r w:rsidR="0093790D" w:rsidRPr="006E2517">
              <w:rPr>
                <w:rFonts w:cs="Segoe UI"/>
              </w:rPr>
              <w:t xml:space="preserve">The cost of cyber incidents is </w:t>
            </w:r>
            <w:r w:rsidR="00A020D7">
              <w:rPr>
                <w:rFonts w:cs="Segoe UI"/>
              </w:rPr>
              <w:t xml:space="preserve">generally </w:t>
            </w:r>
            <w:r w:rsidR="0093790D" w:rsidRPr="006E2517">
              <w:rPr>
                <w:rFonts w:cs="Segoe UI"/>
              </w:rPr>
              <w:t>larger for bigger firms, but this effect is smaller for the financial sector (</w:t>
            </w:r>
            <w:r w:rsidR="00E62852" w:rsidRPr="006E2517">
              <w:rPr>
                <w:rFonts w:cs="Segoe UI"/>
              </w:rPr>
              <w:t xml:space="preserve">the first two </w:t>
            </w:r>
            <w:r w:rsidR="0037707B" w:rsidRPr="006E2517">
              <w:rPr>
                <w:rFonts w:cs="Segoe UI"/>
              </w:rPr>
              <w:t>columns</w:t>
            </w:r>
            <w:r w:rsidR="00E62852" w:rsidRPr="006E2517">
              <w:rPr>
                <w:rFonts w:cs="Segoe UI"/>
              </w:rPr>
              <w:t xml:space="preserve"> in the </w:t>
            </w:r>
            <w:r w:rsidR="0093790D" w:rsidRPr="006E2517">
              <w:rPr>
                <w:rFonts w:cs="Segoe UI"/>
              </w:rPr>
              <w:t>fourth panel</w:t>
            </w:r>
            <w:r w:rsidR="00E62852" w:rsidRPr="006E2517">
              <w:rPr>
                <w:rFonts w:cs="Segoe UI"/>
              </w:rPr>
              <w:t xml:space="preserve"> indicate the </w:t>
            </w:r>
            <w:r w:rsidR="0098525D">
              <w:rPr>
                <w:rFonts w:cs="Segoe UI"/>
              </w:rPr>
              <w:t xml:space="preserve">relationship between </w:t>
            </w:r>
            <w:r w:rsidR="00E62852" w:rsidRPr="006E2517">
              <w:rPr>
                <w:rFonts w:cs="Segoe UI"/>
              </w:rPr>
              <w:t xml:space="preserve">cyber cost </w:t>
            </w:r>
            <w:r w:rsidR="0098525D">
              <w:rPr>
                <w:rFonts w:cs="Segoe UI"/>
              </w:rPr>
              <w:t>and</w:t>
            </w:r>
            <w:r w:rsidR="0098525D" w:rsidRPr="006E2517">
              <w:rPr>
                <w:rFonts w:cs="Segoe UI"/>
              </w:rPr>
              <w:t xml:space="preserve"> </w:t>
            </w:r>
            <w:r w:rsidR="00E62852" w:rsidRPr="006E2517">
              <w:rPr>
                <w:rFonts w:cs="Segoe UI"/>
              </w:rPr>
              <w:t>firm size</w:t>
            </w:r>
            <w:r w:rsidR="0093790D" w:rsidRPr="006E2517">
              <w:rPr>
                <w:rFonts w:cs="Segoe UI"/>
              </w:rPr>
              <w:t xml:space="preserve">). Cyber incidents can be </w:t>
            </w:r>
            <w:r w:rsidR="00737119" w:rsidRPr="006E2517">
              <w:rPr>
                <w:rFonts w:cs="Segoe UI"/>
              </w:rPr>
              <w:t>inter</w:t>
            </w:r>
            <w:r w:rsidR="0093790D" w:rsidRPr="006E2517">
              <w:rPr>
                <w:rFonts w:cs="Segoe UI"/>
              </w:rPr>
              <w:t xml:space="preserve">connected, </w:t>
            </w:r>
            <w:proofErr w:type="spellStart"/>
            <w:r w:rsidRPr="006E2517">
              <w:rPr>
                <w:rFonts w:cs="Segoe UI"/>
              </w:rPr>
              <w:t>ie</w:t>
            </w:r>
            <w:proofErr w:type="spellEnd"/>
            <w:r w:rsidR="0093790D" w:rsidRPr="006E2517">
              <w:rPr>
                <w:rFonts w:cs="Segoe UI"/>
              </w:rPr>
              <w:t xml:space="preserve"> a single </w:t>
            </w:r>
            <w:r w:rsidRPr="006E2517">
              <w:rPr>
                <w:rFonts w:cs="Segoe UI"/>
              </w:rPr>
              <w:t>incident</w:t>
            </w:r>
            <w:r w:rsidR="0093790D" w:rsidRPr="006E2517">
              <w:rPr>
                <w:rFonts w:cs="Segoe UI"/>
              </w:rPr>
              <w:t xml:space="preserve"> can hit several organisations at the same time. The </w:t>
            </w:r>
            <w:r w:rsidRPr="006E2517">
              <w:rPr>
                <w:rFonts w:cs="Segoe UI"/>
              </w:rPr>
              <w:t xml:space="preserve">higher </w:t>
            </w:r>
            <w:r w:rsidR="0093790D" w:rsidRPr="006E2517">
              <w:rPr>
                <w:rFonts w:cs="Segoe UI"/>
              </w:rPr>
              <w:t>this connectivity, the higher the cost, especially for financial firms</w:t>
            </w:r>
            <w:r w:rsidR="0037707B" w:rsidRPr="006E2517">
              <w:rPr>
                <w:rFonts w:cs="Segoe UI"/>
              </w:rPr>
              <w:t xml:space="preserve"> (third and fourth columns in </w:t>
            </w:r>
            <w:r w:rsidR="0098525D">
              <w:rPr>
                <w:rFonts w:cs="Segoe UI"/>
              </w:rPr>
              <w:t xml:space="preserve">the </w:t>
            </w:r>
            <w:r w:rsidR="0037707B" w:rsidRPr="006E2517">
              <w:rPr>
                <w:rFonts w:cs="Segoe UI"/>
              </w:rPr>
              <w:t>fourth panel)</w:t>
            </w:r>
            <w:r w:rsidR="0093790D" w:rsidRPr="006E2517">
              <w:rPr>
                <w:rFonts w:cs="Segoe UI"/>
              </w:rPr>
              <w:t xml:space="preserve">. Cloud technology can reduce IT costs, improve resilience and enable firms to scale better. However, the use of cloud services is associated with lower costs </w:t>
            </w:r>
            <w:r w:rsidR="0098525D">
              <w:rPr>
                <w:rFonts w:cs="Segoe UI"/>
              </w:rPr>
              <w:t>only for minor</w:t>
            </w:r>
            <w:r w:rsidR="0098525D" w:rsidRPr="006E2517">
              <w:rPr>
                <w:rFonts w:cs="Segoe UI"/>
              </w:rPr>
              <w:t xml:space="preserve"> </w:t>
            </w:r>
            <w:r w:rsidR="0093790D" w:rsidRPr="006E2517">
              <w:rPr>
                <w:rFonts w:cs="Segoe UI"/>
              </w:rPr>
              <w:t>cyber incident</w:t>
            </w:r>
            <w:r w:rsidR="00470060" w:rsidRPr="006E2517">
              <w:rPr>
                <w:rFonts w:cs="Segoe UI"/>
              </w:rPr>
              <w:t xml:space="preserve">s. </w:t>
            </w:r>
            <w:r w:rsidR="006873D7" w:rsidRPr="006E2517">
              <w:rPr>
                <w:rFonts w:cs="Segoe UI"/>
              </w:rPr>
              <w:t>When cyber incid</w:t>
            </w:r>
            <w:r w:rsidR="00470060" w:rsidRPr="006E2517">
              <w:rPr>
                <w:rFonts w:cs="Segoe UI"/>
              </w:rPr>
              <w:t xml:space="preserve">ents are </w:t>
            </w:r>
            <w:r w:rsidR="006873D7" w:rsidRPr="006E2517">
              <w:rPr>
                <w:rFonts w:cs="Segoe UI"/>
              </w:rPr>
              <w:t>large</w:t>
            </w:r>
            <w:r w:rsidR="00470060" w:rsidRPr="006E2517">
              <w:rPr>
                <w:rFonts w:cs="Segoe UI"/>
              </w:rPr>
              <w:t xml:space="preserve">, </w:t>
            </w:r>
            <w:r w:rsidR="0098525D">
              <w:rPr>
                <w:rFonts w:cs="Segoe UI"/>
              </w:rPr>
              <w:t xml:space="preserve">there is no visible </w:t>
            </w:r>
            <w:r w:rsidR="00470060" w:rsidRPr="006E2517">
              <w:rPr>
                <w:rFonts w:cs="Segoe UI"/>
              </w:rPr>
              <w:t>effect. Moreover, t</w:t>
            </w:r>
            <w:r w:rsidR="0093790D" w:rsidRPr="006E2517">
              <w:rPr>
                <w:rFonts w:cs="Segoe UI"/>
              </w:rPr>
              <w:t xml:space="preserve">his effect </w:t>
            </w:r>
            <w:r w:rsidR="000D71C3" w:rsidRPr="006E2517">
              <w:rPr>
                <w:rFonts w:cs="Segoe UI"/>
              </w:rPr>
              <w:t xml:space="preserve">is </w:t>
            </w:r>
            <w:r w:rsidR="0093790D" w:rsidRPr="006E2517">
              <w:rPr>
                <w:rFonts w:cs="Segoe UI"/>
              </w:rPr>
              <w:t>significantly smaller for the financial sector</w:t>
            </w:r>
            <w:r w:rsidR="00444458" w:rsidRPr="006E2517">
              <w:rPr>
                <w:rFonts w:cs="Segoe UI"/>
              </w:rPr>
              <w:t xml:space="preserve"> (last two columns in fourth panel)</w:t>
            </w:r>
            <w:r w:rsidR="0093790D" w:rsidRPr="006E2517">
              <w:rPr>
                <w:rFonts w:cs="Segoe UI"/>
              </w:rPr>
              <w:t xml:space="preserve">. As cloud use increases and cloud providers become systemically important, cloud dependence is likely to increase tail risks. </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4"/>
              <w:gridCol w:w="170"/>
              <w:gridCol w:w="2184"/>
              <w:gridCol w:w="170"/>
              <w:gridCol w:w="2184"/>
              <w:gridCol w:w="170"/>
              <w:gridCol w:w="884"/>
              <w:gridCol w:w="1306"/>
            </w:tblGrid>
            <w:tr w:rsidR="00E73085" w:rsidRPr="00E73085" w14:paraId="27663415" w14:textId="77777777" w:rsidTr="00CE4E84">
              <w:trPr>
                <w:cantSplit/>
                <w:trHeight w:hRule="exact" w:val="20"/>
                <w:hidden/>
              </w:trPr>
              <w:tc>
                <w:tcPr>
                  <w:tcW w:w="9247" w:type="dxa"/>
                  <w:gridSpan w:val="8"/>
                  <w:tcBorders>
                    <w:top w:val="nil"/>
                    <w:left w:val="nil"/>
                    <w:bottom w:val="single" w:sz="4" w:space="0" w:color="auto"/>
                    <w:right w:val="nil"/>
                  </w:tcBorders>
                  <w:tcMar>
                    <w:left w:w="0" w:type="dxa"/>
                  </w:tcMar>
                </w:tcPr>
                <w:p w14:paraId="14A28B9E" w14:textId="77777777" w:rsidR="00E73085" w:rsidRPr="00E73085" w:rsidRDefault="00E73085" w:rsidP="00503EC4">
                  <w:pPr>
                    <w:framePr w:hSpace="180" w:vSpace="120" w:wrap="around" w:vAnchor="text" w:hAnchor="text" w:xAlign="right" w:y="121"/>
                    <w:suppressOverlap/>
                    <w:rPr>
                      <w:rFonts w:cs="Segoe UI"/>
                      <w:noProof/>
                      <w:vanish/>
                      <w:color w:val="64964B"/>
                      <w:sz w:val="16"/>
                    </w:rPr>
                  </w:pPr>
                  <w:r w:rsidRPr="00E73085">
                    <w:rPr>
                      <w:rFonts w:cs="Segoe UI"/>
                      <w:noProof/>
                      <w:vanish/>
                      <w:color w:val="64964B"/>
                      <w:sz w:val="16"/>
                    </w:rPr>
                    <w:t>DO NOT DELETE THIS LINE!</w:t>
                  </w:r>
                </w:p>
                <w:p w14:paraId="3AD2D66F" w14:textId="77777777" w:rsidR="00E73085" w:rsidRPr="00E73085" w:rsidRDefault="00E73085" w:rsidP="00503EC4">
                  <w:pPr>
                    <w:framePr w:hSpace="180" w:vSpace="120" w:wrap="around" w:vAnchor="text" w:hAnchor="text" w:xAlign="right" w:y="121"/>
                    <w:spacing w:after="120"/>
                    <w:suppressOverlap/>
                    <w:rPr>
                      <w:rFonts w:cs="Segoe UI"/>
                      <w:noProof/>
                      <w:vanish/>
                      <w:color w:val="64964B"/>
                      <w:sz w:val="16"/>
                    </w:rPr>
                  </w:pPr>
                </w:p>
                <w:p w14:paraId="45793658" w14:textId="77777777" w:rsidR="00E73085" w:rsidRPr="00E73085" w:rsidRDefault="00E73085" w:rsidP="00503EC4">
                  <w:pPr>
                    <w:framePr w:hSpace="180" w:vSpace="120" w:wrap="around" w:vAnchor="text" w:hAnchor="text" w:xAlign="right" w:y="121"/>
                    <w:spacing w:after="120"/>
                    <w:suppressOverlap/>
                    <w:rPr>
                      <w:rFonts w:cs="Segoe UI"/>
                      <w:noProof/>
                      <w:vanish/>
                      <w:color w:val="64964B"/>
                      <w:sz w:val="16"/>
                    </w:rPr>
                  </w:pPr>
                  <w:r w:rsidRPr="00E73085">
                    <w:rPr>
                      <w:rFonts w:cs="Segoe UI"/>
                      <w:noProof/>
                      <w:vanish/>
                      <w:color w:val="64964B"/>
                      <w:sz w:val="16"/>
                    </w:rPr>
                    <w:t>Styles:</w:t>
                  </w:r>
                </w:p>
                <w:p w14:paraId="56269586" w14:textId="77777777" w:rsidR="00E73085" w:rsidRPr="00E73085" w:rsidRDefault="00E73085" w:rsidP="00503EC4">
                  <w:pPr>
                    <w:keepNext/>
                    <w:framePr w:hSpace="180" w:vSpace="120" w:wrap="around" w:vAnchor="text" w:hAnchor="text" w:xAlign="right" w:y="121"/>
                    <w:spacing w:before="60" w:after="120"/>
                    <w:suppressOverlap/>
                    <w:jc w:val="both"/>
                    <w:rPr>
                      <w:rFonts w:cs="Segoe UI"/>
                      <w:sz w:val="15"/>
                      <w:u w:val="single" w:color="929993"/>
                    </w:rPr>
                  </w:pPr>
                  <w:r w:rsidRPr="00E73085">
                    <w:rPr>
                      <w:rFonts w:cs="Segoe UI"/>
                      <w:sz w:val="15"/>
                      <w:u w:val="single" w:color="929993"/>
                    </w:rPr>
                    <w:t>Hyperlink BIS</w:t>
                  </w:r>
                </w:p>
                <w:p w14:paraId="2143216E" w14:textId="77777777" w:rsidR="00E73085" w:rsidRPr="00E73085" w:rsidRDefault="00E73085" w:rsidP="00503EC4">
                  <w:pPr>
                    <w:framePr w:hSpace="180" w:vSpace="120" w:wrap="around" w:vAnchor="text" w:hAnchor="text" w:xAlign="right" w:y="121"/>
                    <w:spacing w:after="120"/>
                    <w:suppressOverlap/>
                    <w:rPr>
                      <w:rFonts w:cs="Segoe UI"/>
                      <w:noProof/>
                      <w:vanish/>
                      <w:color w:val="64964B"/>
                      <w:sz w:val="16"/>
                    </w:rPr>
                  </w:pPr>
                </w:p>
              </w:tc>
            </w:tr>
            <w:tr w:rsidR="00E73085" w:rsidRPr="00E73085" w14:paraId="1E9B8E79" w14:textId="77777777" w:rsidTr="00CE4E84">
              <w:tblPrEx>
                <w:tblBorders>
                  <w:left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7946" w:type="dxa"/>
                  <w:gridSpan w:val="7"/>
                  <w:tcBorders>
                    <w:top w:val="single" w:sz="4" w:space="0" w:color="auto"/>
                    <w:bottom w:val="single" w:sz="4" w:space="0" w:color="auto"/>
                  </w:tcBorders>
                </w:tcPr>
                <w:p w14:paraId="16E8C92C" w14:textId="77777777" w:rsidR="00E73085" w:rsidRPr="00E73085" w:rsidRDefault="00E73085" w:rsidP="00503EC4">
                  <w:pPr>
                    <w:pStyle w:val="GraphMainHeadingSegoeUI"/>
                    <w:framePr w:hSpace="180" w:vSpace="120" w:wrap="around" w:vAnchor="text" w:hAnchor="text" w:xAlign="right" w:y="121"/>
                    <w:suppressOverlap/>
                  </w:pPr>
                  <w:r w:rsidRPr="00E73085">
                    <w:t>Cyber events and losses across sectors</w:t>
                  </w:r>
                </w:p>
              </w:tc>
              <w:tc>
                <w:tcPr>
                  <w:tcW w:w="1306" w:type="dxa"/>
                  <w:tcBorders>
                    <w:top w:val="single" w:sz="4" w:space="0" w:color="auto"/>
                    <w:bottom w:val="single" w:sz="4" w:space="0" w:color="auto"/>
                  </w:tcBorders>
                  <w:vAlign w:val="bottom"/>
                </w:tcPr>
                <w:p w14:paraId="7B7A51A8" w14:textId="77777777" w:rsidR="00E73085" w:rsidRPr="00E73085" w:rsidRDefault="00E73085" w:rsidP="00503EC4">
                  <w:pPr>
                    <w:keepNext/>
                    <w:framePr w:hSpace="180" w:vSpace="120" w:wrap="around" w:vAnchor="text" w:hAnchor="text" w:xAlign="right" w:y="121"/>
                    <w:spacing w:after="120"/>
                    <w:suppressOverlap/>
                    <w:jc w:val="right"/>
                    <w:rPr>
                      <w:sz w:val="18"/>
                    </w:rPr>
                  </w:pPr>
                  <w:r w:rsidRPr="00E73085">
                    <w:rPr>
                      <w:sz w:val="18"/>
                    </w:rPr>
                    <w:t>Graph A1</w:t>
                  </w:r>
                </w:p>
              </w:tc>
            </w:tr>
            <w:tr w:rsidR="00E73085" w:rsidRPr="00E73085" w14:paraId="000BCFC0" w14:textId="77777777" w:rsidTr="00CE4E84">
              <w:tblPrEx>
                <w:tblCellMar>
                  <w:left w:w="0" w:type="dxa"/>
                  <w:right w:w="0" w:type="dxa"/>
                </w:tblCellMar>
              </w:tblPrEx>
              <w:trPr>
                <w:cantSplit/>
              </w:trPr>
              <w:tc>
                <w:tcPr>
                  <w:tcW w:w="2184" w:type="dxa"/>
                  <w:tcBorders>
                    <w:top w:val="nil"/>
                    <w:left w:val="nil"/>
                    <w:bottom w:val="nil"/>
                    <w:right w:val="nil"/>
                  </w:tcBorders>
                </w:tcPr>
                <w:p w14:paraId="50B575EC" w14:textId="77777777" w:rsidR="00E73085" w:rsidRPr="00E73085" w:rsidRDefault="00E73085" w:rsidP="00503EC4">
                  <w:pPr>
                    <w:pStyle w:val="GraphPanelHeadingSegoeUI"/>
                    <w:framePr w:hSpace="180" w:vSpace="120" w:wrap="around" w:vAnchor="text" w:hAnchor="text" w:xAlign="right" w:y="121"/>
                    <w:suppressOverlap/>
                  </w:pPr>
                  <w:r w:rsidRPr="00E73085">
                    <w:t xml:space="preserve">Cyber losses and frequency </w:t>
                  </w:r>
                </w:p>
              </w:tc>
              <w:tc>
                <w:tcPr>
                  <w:tcW w:w="170" w:type="dxa"/>
                  <w:tcBorders>
                    <w:top w:val="nil"/>
                    <w:left w:val="nil"/>
                    <w:bottom w:val="nil"/>
                    <w:right w:val="nil"/>
                  </w:tcBorders>
                </w:tcPr>
                <w:p w14:paraId="5C79C0E4" w14:textId="77777777" w:rsidR="00E73085" w:rsidRPr="00E73085" w:rsidRDefault="00E73085" w:rsidP="00503EC4">
                  <w:pPr>
                    <w:pStyle w:val="GraphPanelHeadingSegoeUI"/>
                    <w:framePr w:hSpace="180" w:vSpace="120" w:wrap="around" w:vAnchor="text" w:hAnchor="text" w:xAlign="right" w:y="121"/>
                    <w:suppressOverlap/>
                    <w:rPr>
                      <w:rFonts w:ascii="Arial" w:hAnsi="Arial"/>
                      <w:sz w:val="19"/>
                    </w:rPr>
                  </w:pPr>
                </w:p>
              </w:tc>
              <w:tc>
                <w:tcPr>
                  <w:tcW w:w="2184" w:type="dxa"/>
                  <w:tcBorders>
                    <w:top w:val="nil"/>
                    <w:left w:val="nil"/>
                    <w:bottom w:val="nil"/>
                    <w:right w:val="nil"/>
                  </w:tcBorders>
                </w:tcPr>
                <w:p w14:paraId="45E9C2B8" w14:textId="77777777" w:rsidR="00E73085" w:rsidRPr="00E73085" w:rsidRDefault="00E73085" w:rsidP="00503EC4">
                  <w:pPr>
                    <w:pStyle w:val="GraphPanelHeadingSegoeUI"/>
                    <w:framePr w:hSpace="180" w:vSpace="120" w:wrap="around" w:vAnchor="text" w:hAnchor="text" w:xAlign="right" w:y="121"/>
                    <w:suppressOverlap/>
                  </w:pPr>
                  <w:r w:rsidRPr="00E73085">
                    <w:t xml:space="preserve">More frequent in F&amp;I </w:t>
                  </w:r>
                </w:p>
              </w:tc>
              <w:tc>
                <w:tcPr>
                  <w:tcW w:w="170" w:type="dxa"/>
                  <w:tcBorders>
                    <w:top w:val="nil"/>
                    <w:left w:val="nil"/>
                    <w:bottom w:val="nil"/>
                    <w:right w:val="nil"/>
                  </w:tcBorders>
                </w:tcPr>
                <w:p w14:paraId="33DFE928" w14:textId="77777777" w:rsidR="00E73085" w:rsidRPr="00E73085" w:rsidRDefault="00E73085" w:rsidP="00503EC4">
                  <w:pPr>
                    <w:pStyle w:val="GraphPanelHeadingSegoeUI"/>
                    <w:framePr w:hSpace="180" w:vSpace="120" w:wrap="around" w:vAnchor="text" w:hAnchor="text" w:xAlign="right" w:y="121"/>
                    <w:suppressOverlap/>
                    <w:rPr>
                      <w:rFonts w:ascii="Arial" w:hAnsi="Arial"/>
                      <w:sz w:val="19"/>
                    </w:rPr>
                  </w:pPr>
                </w:p>
              </w:tc>
              <w:tc>
                <w:tcPr>
                  <w:tcW w:w="2184" w:type="dxa"/>
                  <w:tcBorders>
                    <w:top w:val="nil"/>
                    <w:left w:val="nil"/>
                    <w:bottom w:val="nil"/>
                    <w:right w:val="nil"/>
                  </w:tcBorders>
                </w:tcPr>
                <w:p w14:paraId="300074FB" w14:textId="77777777" w:rsidR="00E73085" w:rsidRPr="00E73085" w:rsidRDefault="00E73085" w:rsidP="00503EC4">
                  <w:pPr>
                    <w:pStyle w:val="GraphPanelHeadingSegoeUI"/>
                    <w:framePr w:hSpace="180" w:vSpace="120" w:wrap="around" w:vAnchor="text" w:hAnchor="text" w:xAlign="right" w:y="121"/>
                    <w:suppressOverlap/>
                  </w:pPr>
                  <w:r w:rsidRPr="00E73085">
                    <w:t xml:space="preserve">Cyber incidents in F&amp;I </w:t>
                  </w:r>
                </w:p>
              </w:tc>
              <w:tc>
                <w:tcPr>
                  <w:tcW w:w="170" w:type="dxa"/>
                  <w:tcBorders>
                    <w:top w:val="nil"/>
                    <w:left w:val="nil"/>
                    <w:bottom w:val="nil"/>
                    <w:right w:val="nil"/>
                  </w:tcBorders>
                </w:tcPr>
                <w:p w14:paraId="1C9485AC" w14:textId="77777777" w:rsidR="00E73085" w:rsidRPr="00E73085" w:rsidRDefault="00E73085" w:rsidP="00503EC4">
                  <w:pPr>
                    <w:pStyle w:val="GraphPanelHeadingSegoeUI"/>
                    <w:framePr w:hSpace="180" w:vSpace="120" w:wrap="around" w:vAnchor="text" w:hAnchor="text" w:xAlign="right" w:y="121"/>
                    <w:suppressOverlap/>
                    <w:rPr>
                      <w:rFonts w:ascii="Arial" w:hAnsi="Arial"/>
                      <w:sz w:val="19"/>
                    </w:rPr>
                  </w:pPr>
                </w:p>
              </w:tc>
              <w:tc>
                <w:tcPr>
                  <w:tcW w:w="2190" w:type="dxa"/>
                  <w:gridSpan w:val="2"/>
                  <w:tcBorders>
                    <w:top w:val="nil"/>
                    <w:left w:val="nil"/>
                    <w:bottom w:val="nil"/>
                    <w:right w:val="nil"/>
                  </w:tcBorders>
                </w:tcPr>
                <w:p w14:paraId="08D8CBB7" w14:textId="77777777" w:rsidR="00E73085" w:rsidRPr="00E73085" w:rsidRDefault="00E73085" w:rsidP="00503EC4">
                  <w:pPr>
                    <w:pStyle w:val="GraphPanelHeadingSegoeUI"/>
                    <w:framePr w:hSpace="180" w:vSpace="120" w:wrap="around" w:vAnchor="text" w:hAnchor="text" w:xAlign="right" w:y="121"/>
                    <w:suppressOverlap/>
                  </w:pPr>
                  <w:r w:rsidRPr="00E73085">
                    <w:t>Drivers of cyber costs</w:t>
                  </w:r>
                </w:p>
              </w:tc>
            </w:tr>
            <w:tr w:rsidR="00E73085" w:rsidRPr="00E73085" w14:paraId="524984D1" w14:textId="77777777" w:rsidTr="00CE4E84">
              <w:tblPrEx>
                <w:tblCellMar>
                  <w:left w:w="0" w:type="dxa"/>
                  <w:right w:w="0" w:type="dxa"/>
                </w:tblCellMar>
              </w:tblPrEx>
              <w:trPr>
                <w:cantSplit/>
                <w:trHeight w:val="113"/>
              </w:trPr>
              <w:tc>
                <w:tcPr>
                  <w:tcW w:w="2184" w:type="dxa"/>
                  <w:tcBorders>
                    <w:top w:val="nil"/>
                    <w:left w:val="nil"/>
                    <w:bottom w:val="nil"/>
                    <w:right w:val="nil"/>
                  </w:tcBorders>
                </w:tcPr>
                <w:p w14:paraId="602DA8ED" w14:textId="77777777" w:rsidR="00E73085" w:rsidRPr="00E73085" w:rsidRDefault="00E73085" w:rsidP="00503EC4">
                  <w:pPr>
                    <w:pStyle w:val="GraphUnitDescription"/>
                    <w:framePr w:hSpace="180" w:vSpace="120" w:wrap="around" w:vAnchor="text" w:hAnchor="text" w:xAlign="right" w:y="121"/>
                    <w:tabs>
                      <w:tab w:val="right" w:pos="2156"/>
                    </w:tabs>
                    <w:suppressOverlap/>
                    <w:jc w:val="left"/>
                  </w:pPr>
                  <w:r w:rsidRPr="00E73085">
                    <w:t>USD m</w:t>
                  </w:r>
                  <w:r>
                    <w:tab/>
                  </w:r>
                  <w:r w:rsidRPr="00E73085">
                    <w:t>‘000 events</w:t>
                  </w:r>
                </w:p>
              </w:tc>
              <w:tc>
                <w:tcPr>
                  <w:tcW w:w="170" w:type="dxa"/>
                  <w:tcBorders>
                    <w:top w:val="nil"/>
                    <w:left w:val="nil"/>
                    <w:bottom w:val="nil"/>
                    <w:right w:val="nil"/>
                  </w:tcBorders>
                </w:tcPr>
                <w:p w14:paraId="52B6846F" w14:textId="77777777" w:rsidR="00E73085" w:rsidRPr="00E73085" w:rsidRDefault="00E73085" w:rsidP="00503EC4">
                  <w:pPr>
                    <w:pStyle w:val="GraphUnitDescription"/>
                    <w:framePr w:hSpace="180" w:vSpace="120" w:wrap="around" w:vAnchor="text" w:hAnchor="text" w:xAlign="right" w:y="121"/>
                    <w:suppressOverlap/>
                    <w:rPr>
                      <w:rFonts w:eastAsia="Calibri"/>
                      <w:sz w:val="12"/>
                    </w:rPr>
                  </w:pPr>
                </w:p>
              </w:tc>
              <w:tc>
                <w:tcPr>
                  <w:tcW w:w="2184" w:type="dxa"/>
                  <w:tcBorders>
                    <w:top w:val="nil"/>
                    <w:left w:val="nil"/>
                    <w:bottom w:val="nil"/>
                    <w:right w:val="nil"/>
                  </w:tcBorders>
                </w:tcPr>
                <w:p w14:paraId="3F0372DC" w14:textId="77777777" w:rsidR="00E73085" w:rsidRPr="00E73085" w:rsidRDefault="00E73085" w:rsidP="00503EC4">
                  <w:pPr>
                    <w:pStyle w:val="GraphUnitDescription"/>
                    <w:framePr w:hSpace="180" w:vSpace="120" w:wrap="around" w:vAnchor="text" w:hAnchor="text" w:xAlign="right" w:y="121"/>
                    <w:suppressOverlap/>
                  </w:pPr>
                  <w:r w:rsidRPr="00E73085">
                    <w:tab/>
                    <w:t>Per cent</w:t>
                  </w:r>
                </w:p>
              </w:tc>
              <w:tc>
                <w:tcPr>
                  <w:tcW w:w="170" w:type="dxa"/>
                  <w:tcBorders>
                    <w:top w:val="nil"/>
                    <w:left w:val="nil"/>
                    <w:bottom w:val="nil"/>
                    <w:right w:val="nil"/>
                  </w:tcBorders>
                </w:tcPr>
                <w:p w14:paraId="025A4847" w14:textId="77777777" w:rsidR="00E73085" w:rsidRPr="00E73085" w:rsidRDefault="00E73085" w:rsidP="00503EC4">
                  <w:pPr>
                    <w:pStyle w:val="GraphUnitDescription"/>
                    <w:framePr w:hSpace="180" w:vSpace="120" w:wrap="around" w:vAnchor="text" w:hAnchor="text" w:xAlign="right" w:y="121"/>
                    <w:suppressOverlap/>
                    <w:rPr>
                      <w:rFonts w:eastAsia="Calibri"/>
                      <w:sz w:val="12"/>
                    </w:rPr>
                  </w:pPr>
                </w:p>
              </w:tc>
              <w:tc>
                <w:tcPr>
                  <w:tcW w:w="2184" w:type="dxa"/>
                  <w:tcBorders>
                    <w:top w:val="nil"/>
                    <w:left w:val="nil"/>
                    <w:bottom w:val="nil"/>
                    <w:right w:val="nil"/>
                  </w:tcBorders>
                </w:tcPr>
                <w:p w14:paraId="5C9383EA" w14:textId="77777777" w:rsidR="00E73085" w:rsidRPr="00E73085" w:rsidRDefault="00E73085" w:rsidP="00503EC4">
                  <w:pPr>
                    <w:pStyle w:val="GraphUnitDescription"/>
                    <w:framePr w:hSpace="180" w:vSpace="120" w:wrap="around" w:vAnchor="text" w:hAnchor="text" w:xAlign="right" w:y="121"/>
                    <w:suppressOverlap/>
                  </w:pPr>
                  <w:r w:rsidRPr="00E73085">
                    <w:t>Per cent</w:t>
                  </w:r>
                </w:p>
              </w:tc>
              <w:tc>
                <w:tcPr>
                  <w:tcW w:w="170" w:type="dxa"/>
                  <w:tcBorders>
                    <w:top w:val="nil"/>
                    <w:left w:val="nil"/>
                    <w:bottom w:val="nil"/>
                    <w:right w:val="nil"/>
                  </w:tcBorders>
                </w:tcPr>
                <w:p w14:paraId="223883B9" w14:textId="77777777" w:rsidR="00E73085" w:rsidRPr="00E73085" w:rsidRDefault="00E73085" w:rsidP="00503EC4">
                  <w:pPr>
                    <w:pStyle w:val="GraphUnitDescription"/>
                    <w:framePr w:hSpace="180" w:vSpace="120" w:wrap="around" w:vAnchor="text" w:hAnchor="text" w:xAlign="right" w:y="121"/>
                    <w:suppressOverlap/>
                    <w:rPr>
                      <w:rFonts w:eastAsia="Calibri"/>
                      <w:sz w:val="12"/>
                    </w:rPr>
                  </w:pPr>
                </w:p>
              </w:tc>
              <w:tc>
                <w:tcPr>
                  <w:tcW w:w="2190" w:type="dxa"/>
                  <w:gridSpan w:val="2"/>
                  <w:tcBorders>
                    <w:top w:val="nil"/>
                    <w:left w:val="nil"/>
                    <w:bottom w:val="nil"/>
                    <w:right w:val="nil"/>
                  </w:tcBorders>
                </w:tcPr>
                <w:p w14:paraId="6D222745" w14:textId="77777777" w:rsidR="00E73085" w:rsidRPr="00E73085" w:rsidRDefault="00E73085" w:rsidP="00503EC4">
                  <w:pPr>
                    <w:pStyle w:val="GraphUnitDescription"/>
                    <w:framePr w:hSpace="180" w:vSpace="120" w:wrap="around" w:vAnchor="text" w:hAnchor="text" w:xAlign="right" w:y="121"/>
                    <w:suppressOverlap/>
                  </w:pPr>
                </w:p>
              </w:tc>
            </w:tr>
            <w:tr w:rsidR="00E73085" w:rsidRPr="00E73085" w14:paraId="60931BDE" w14:textId="77777777" w:rsidTr="00CE4E84">
              <w:tblPrEx>
                <w:tblCellMar>
                  <w:left w:w="0" w:type="dxa"/>
                  <w:right w:w="0" w:type="dxa"/>
                </w:tblCellMar>
              </w:tblPrEx>
              <w:trPr>
                <w:cantSplit/>
              </w:trPr>
              <w:tc>
                <w:tcPr>
                  <w:tcW w:w="2184" w:type="dxa"/>
                  <w:tcBorders>
                    <w:top w:val="nil"/>
                    <w:left w:val="nil"/>
                    <w:bottom w:val="nil"/>
                    <w:right w:val="nil"/>
                  </w:tcBorders>
                </w:tcPr>
                <w:p w14:paraId="69791E6A" w14:textId="77777777" w:rsidR="00E73085" w:rsidRPr="00E73085" w:rsidRDefault="00E73085" w:rsidP="00503EC4">
                  <w:pPr>
                    <w:keepNext/>
                    <w:framePr w:hSpace="180" w:vSpace="120" w:wrap="around" w:vAnchor="text" w:hAnchor="text" w:xAlign="right" w:y="121"/>
                    <w:ind w:left="-11"/>
                    <w:suppressOverlap/>
                    <w:rPr>
                      <w:rFonts w:eastAsia="Calibri"/>
                      <w:szCs w:val="22"/>
                    </w:rPr>
                  </w:pPr>
                  <w:r w:rsidRPr="00E73085">
                    <w:rPr>
                      <w:rFonts w:eastAsia="Calibri"/>
                      <w:noProof/>
                      <w:szCs w:val="22"/>
                      <w:lang w:eastAsia="en-GB"/>
                    </w:rPr>
                    <w:drawing>
                      <wp:inline distT="0" distB="0" distL="0" distR="0" wp14:anchorId="59E855E7" wp14:editId="41345310">
                        <wp:extent cx="1393200" cy="2254451"/>
                        <wp:effectExtent l="0" t="0" r="0" b="0"/>
                        <wp:docPr id="13" name="Picture 13" descr="&lt;?xml version=&quot;1.0&quot; encoding=&quot;utf-8&quot;?&gt; &#10;&lt;XMLInfo&gt; &#10;&lt;DocFullFileName&gt;L:\DRS\Products\Bimonthly_Meetings\Notes_AllGovernors\2020_09\graphs_allGov_sep20.docx&lt;/DocFullFileName&gt;&#10;&lt;EPSFullFileName&gt;L:\DRS\Products\Bimonthly_Meetings\Notes_AllGovernors\2020_09\graphs\g_boxA_lhp_v2.MEDCS.eps&lt;/EPSFullFileName&gt;&#10;&lt;EPSRelativeFileName&gt;graphs\g_boxA_lhp_v2.MEDCS.eps&lt;/EPSRelativeFileName&gt;&#10;&lt;EPSCreated&gt;20200806 13:21:24&lt;/EPSCreated&gt;&#10;&lt;EPSInsertedBy&gt;gi004099&lt;/EPSInsertedBy&gt;&#10;&lt;EPSInsertedDate&gt;20200806 13:27:38&lt;/EPSInsertedDate&gt;&#10;&lt;EPSModifiedDate&gt;20200806 13:27:22&lt;/EPSModifiedDate&gt;&#10;&lt;EPSUpdatedInDoc&gt;20200806 13:27:38&lt;/EPSUpdatedInDoc&gt;&#10;&lt;EPSModifiedBy&gt;gi004099&lt;/EPSModifiedBy&gt;&#10;&lt;XMLInfoVersionID&gt;2.0.0.0&lt;/XMLInfoVersionID&gt; &#10;&lt;EPSGUID&gt;{6824300a-85c1-40c5-b54b-9cb54353feb6}&lt;/EPSGUID&gt;&#10;&lt;/XMLInfo&gt; &#10;" title="g_boxA_lhp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6">
                                  <a:extLst>
                                    <a:ext uri="{28A0092B-C50C-407E-A947-70E740481C1C}">
                                      <a14:useLocalDpi xmlns:a14="http://schemas.microsoft.com/office/drawing/2010/main" val="0"/>
                                    </a:ext>
                                  </a:extLst>
                                </a:blip>
                                <a:stretch>
                                  <a:fillRect/>
                                </a:stretch>
                              </pic:blipFill>
                              <pic:spPr>
                                <a:xfrm>
                                  <a:off x="0" y="0"/>
                                  <a:ext cx="1393200" cy="2254451"/>
                                </a:xfrm>
                                <a:prstGeom prst="rect">
                                  <a:avLst/>
                                </a:prstGeom>
                              </pic:spPr>
                            </pic:pic>
                          </a:graphicData>
                        </a:graphic>
                      </wp:inline>
                    </w:drawing>
                  </w:r>
                </w:p>
              </w:tc>
              <w:tc>
                <w:tcPr>
                  <w:tcW w:w="170" w:type="dxa"/>
                  <w:tcBorders>
                    <w:top w:val="nil"/>
                    <w:left w:val="nil"/>
                    <w:bottom w:val="nil"/>
                    <w:right w:val="nil"/>
                  </w:tcBorders>
                </w:tcPr>
                <w:p w14:paraId="6690B633" w14:textId="77777777" w:rsidR="00E73085" w:rsidRPr="00E73085" w:rsidRDefault="00E73085" w:rsidP="00503EC4">
                  <w:pPr>
                    <w:keepNext/>
                    <w:framePr w:hSpace="180" w:vSpace="120" w:wrap="around" w:vAnchor="text" w:hAnchor="text" w:xAlign="right" w:y="121"/>
                    <w:suppressOverlap/>
                    <w:rPr>
                      <w:rFonts w:eastAsia="Calibri"/>
                      <w:szCs w:val="22"/>
                    </w:rPr>
                  </w:pPr>
                </w:p>
              </w:tc>
              <w:tc>
                <w:tcPr>
                  <w:tcW w:w="2184" w:type="dxa"/>
                  <w:tcBorders>
                    <w:top w:val="nil"/>
                    <w:left w:val="nil"/>
                    <w:bottom w:val="nil"/>
                    <w:right w:val="nil"/>
                  </w:tcBorders>
                </w:tcPr>
                <w:p w14:paraId="58AABFBB" w14:textId="77777777" w:rsidR="00E73085" w:rsidRPr="00E73085" w:rsidRDefault="00E73085" w:rsidP="00503EC4">
                  <w:pPr>
                    <w:keepNext/>
                    <w:framePr w:hSpace="180" w:vSpace="120" w:wrap="around" w:vAnchor="text" w:hAnchor="text" w:xAlign="right" w:y="121"/>
                    <w:suppressOverlap/>
                    <w:rPr>
                      <w:rFonts w:eastAsia="Calibri"/>
                      <w:szCs w:val="22"/>
                    </w:rPr>
                  </w:pPr>
                  <w:r w:rsidRPr="00E73085">
                    <w:rPr>
                      <w:rFonts w:eastAsia="Calibri"/>
                      <w:noProof/>
                      <w:szCs w:val="22"/>
                      <w:lang w:eastAsia="en-GB"/>
                    </w:rPr>
                    <w:drawing>
                      <wp:inline distT="0" distB="0" distL="0" distR="0" wp14:anchorId="0F6365FB" wp14:editId="734C0780">
                        <wp:extent cx="1393200" cy="2064469"/>
                        <wp:effectExtent l="0" t="0" r="0" b="0"/>
                        <wp:docPr id="12" name="Picture 12" descr="&lt;?xml version=&quot;1.0&quot; encoding=&quot;utf-8&quot;?&gt; &#10;&lt;XMLInfo&gt; &#10;&lt;DocFullFileName&gt;L:\DRS\Products\Bimonthly_Meetings\Notes_AllGovernors\2020_09\graphs_allGov_sep20.docx&lt;/DocFullFileName&gt;&#10;&lt;EPSFullFileName&gt;L:\DRS\Products\Bimonthly_Meetings\Notes_AllGovernors\2020_09\graphs\g_boxA_clp_v2.MEDCS.eps&lt;/EPSFullFileName&gt;&#10;&lt;EPSRelativeFileName&gt;graphs\g_boxA_clp_v2.MEDCS.eps&lt;/EPSRelativeFileName&gt;&#10;&lt;EPSCreated&gt;20200806 13:21:24&lt;/EPSCreated&gt;&#10;&lt;EPSInsertedBy&gt;gi004099&lt;/EPSInsertedBy&gt;&#10;&lt;EPSInsertedDate&gt;20200806 13:30:07&lt;/EPSInsertedDate&gt;&#10;&lt;EPSModifiedDate&gt;20200806 13:34:47&lt;/EPSModifiedDate&gt;&#10;&lt;EPSUpdatedInDoc&gt;20200806 13:34:54&lt;/EPSUpdatedInDoc&gt;&#10;&lt;EPSModifiedBy&gt;gi004099&lt;/EPSModifiedBy&gt;&#10;&lt;XMLInfoVersionID&gt;2.0.0.0&lt;/XMLInfoVersionID&gt; &#10;&lt;EPSGUID&gt;{d6b0a1f7-14d5-4e5c-bbd4-031f7ef57d62}&lt;/EPSGUID&gt;&#10;&lt;/XMLInfo&gt; &#10;" title="g_boxA_clp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a:extLst>
                                    <a:ext uri="{28A0092B-C50C-407E-A947-70E740481C1C}">
                                      <a14:useLocalDpi xmlns:a14="http://schemas.microsoft.com/office/drawing/2010/main" val="0"/>
                                    </a:ext>
                                  </a:extLst>
                                </a:blip>
                                <a:stretch>
                                  <a:fillRect/>
                                </a:stretch>
                              </pic:blipFill>
                              <pic:spPr>
                                <a:xfrm>
                                  <a:off x="0" y="0"/>
                                  <a:ext cx="1393200" cy="2064469"/>
                                </a:xfrm>
                                <a:prstGeom prst="rect">
                                  <a:avLst/>
                                </a:prstGeom>
                              </pic:spPr>
                            </pic:pic>
                          </a:graphicData>
                        </a:graphic>
                      </wp:inline>
                    </w:drawing>
                  </w:r>
                </w:p>
              </w:tc>
              <w:tc>
                <w:tcPr>
                  <w:tcW w:w="170" w:type="dxa"/>
                  <w:tcBorders>
                    <w:top w:val="nil"/>
                    <w:left w:val="nil"/>
                    <w:bottom w:val="nil"/>
                    <w:right w:val="nil"/>
                  </w:tcBorders>
                </w:tcPr>
                <w:p w14:paraId="298A56C8" w14:textId="77777777" w:rsidR="00E73085" w:rsidRPr="00E73085" w:rsidRDefault="00E73085" w:rsidP="00503EC4">
                  <w:pPr>
                    <w:keepNext/>
                    <w:framePr w:hSpace="180" w:vSpace="120" w:wrap="around" w:vAnchor="text" w:hAnchor="text" w:xAlign="right" w:y="121"/>
                    <w:suppressOverlap/>
                    <w:rPr>
                      <w:rFonts w:eastAsia="Calibri"/>
                      <w:szCs w:val="22"/>
                    </w:rPr>
                  </w:pPr>
                </w:p>
              </w:tc>
              <w:tc>
                <w:tcPr>
                  <w:tcW w:w="2184" w:type="dxa"/>
                  <w:tcBorders>
                    <w:top w:val="nil"/>
                    <w:left w:val="nil"/>
                    <w:bottom w:val="nil"/>
                    <w:right w:val="nil"/>
                  </w:tcBorders>
                </w:tcPr>
                <w:p w14:paraId="3B2FF512" w14:textId="77777777" w:rsidR="00E73085" w:rsidRPr="00E73085" w:rsidRDefault="00E73085" w:rsidP="00503EC4">
                  <w:pPr>
                    <w:keepNext/>
                    <w:framePr w:hSpace="180" w:vSpace="120" w:wrap="around" w:vAnchor="text" w:hAnchor="text" w:xAlign="right" w:y="121"/>
                    <w:suppressOverlap/>
                    <w:rPr>
                      <w:rFonts w:eastAsia="Calibri"/>
                      <w:szCs w:val="22"/>
                    </w:rPr>
                  </w:pPr>
                  <w:r w:rsidRPr="00E73085">
                    <w:rPr>
                      <w:rFonts w:eastAsia="Calibri"/>
                      <w:noProof/>
                      <w:szCs w:val="22"/>
                      <w:lang w:eastAsia="en-GB"/>
                    </w:rPr>
                    <w:drawing>
                      <wp:inline distT="0" distB="0" distL="0" distR="0" wp14:anchorId="46C8B7FB" wp14:editId="1D46E30A">
                        <wp:extent cx="1393200" cy="2077135"/>
                        <wp:effectExtent l="0" t="0" r="0" b="0"/>
                        <wp:docPr id="21" name="Picture 21" descr="&lt;?xml version=&quot;1.0&quot; encoding=&quot;utf-8&quot;?&gt; &#10;&lt;XMLInfo&gt; &#10;&lt;DocFullFileName&gt;L:\DRS\Products\Bimonthly_Meetings\Notes_AllGovernors\2020_09\graphs_allGov_sep20.docx&lt;/DocFullFileName&gt;&#10;&lt;EPSFullFileName&gt;L:\DRS\Products\Bimonthly_Meetings\Notes_AllGovernors\2020_09\graphs\g_boxA_crp.MEDCS.eps&lt;/EPSFullFileName&gt;&#10;&lt;EPSRelativeFileName&gt;graphs\g_boxA_crp.MEDCS.eps&lt;/EPSRelativeFileName&gt;&#10;&lt;EPSCreated&gt;20200806 13:21:24&lt;/EPSCreated&gt;&#10;&lt;EPSInsertedBy&gt;gi004099&lt;/EPSInsertedBy&gt;&#10;&lt;EPSInsertedDate&gt;20200806 13:35:04&lt;/EPSInsertedDate&gt;&#10;&lt;EPSModifiedDate&gt;20200806 13:35:33&lt;/EPSModifiedDate&gt;&#10;&lt;EPSUpdatedInDoc&gt;20200806 13:35:37&lt;/EPSUpdatedInDoc&gt;&#10;&lt;EPSModifiedBy&gt;gi004099&lt;/EPSModifiedBy&gt;&#10;&lt;XMLInfoVersionID&gt;2.0.0.0&lt;/XMLInfoVersionID&gt; &#10;&lt;EPSGUID&gt;{80e5ed9b-0fad-4212-b1da-c874b3c42849}&lt;/EPSGUID&gt;&#10;&lt;/XMLInfo&gt; &#10;" title="g_boxA_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8">
                                  <a:extLst>
                                    <a:ext uri="{28A0092B-C50C-407E-A947-70E740481C1C}">
                                      <a14:useLocalDpi xmlns:a14="http://schemas.microsoft.com/office/drawing/2010/main" val="0"/>
                                    </a:ext>
                                  </a:extLst>
                                </a:blip>
                                <a:stretch>
                                  <a:fillRect/>
                                </a:stretch>
                              </pic:blipFill>
                              <pic:spPr>
                                <a:xfrm>
                                  <a:off x="0" y="0"/>
                                  <a:ext cx="1393200" cy="2077135"/>
                                </a:xfrm>
                                <a:prstGeom prst="rect">
                                  <a:avLst/>
                                </a:prstGeom>
                              </pic:spPr>
                            </pic:pic>
                          </a:graphicData>
                        </a:graphic>
                      </wp:inline>
                    </w:drawing>
                  </w:r>
                </w:p>
              </w:tc>
              <w:tc>
                <w:tcPr>
                  <w:tcW w:w="170" w:type="dxa"/>
                  <w:tcBorders>
                    <w:top w:val="nil"/>
                    <w:left w:val="nil"/>
                    <w:bottom w:val="nil"/>
                    <w:right w:val="nil"/>
                  </w:tcBorders>
                </w:tcPr>
                <w:p w14:paraId="39D99924" w14:textId="77777777" w:rsidR="00E73085" w:rsidRPr="00E73085" w:rsidRDefault="00E73085" w:rsidP="00503EC4">
                  <w:pPr>
                    <w:keepNext/>
                    <w:framePr w:hSpace="180" w:vSpace="120" w:wrap="around" w:vAnchor="text" w:hAnchor="text" w:xAlign="right" w:y="121"/>
                    <w:suppressOverlap/>
                    <w:rPr>
                      <w:rFonts w:eastAsia="Calibri"/>
                      <w:szCs w:val="22"/>
                    </w:rPr>
                  </w:pPr>
                </w:p>
              </w:tc>
              <w:tc>
                <w:tcPr>
                  <w:tcW w:w="2190" w:type="dxa"/>
                  <w:gridSpan w:val="2"/>
                  <w:tcBorders>
                    <w:top w:val="nil"/>
                    <w:left w:val="nil"/>
                    <w:bottom w:val="nil"/>
                    <w:right w:val="nil"/>
                  </w:tcBorders>
                </w:tcPr>
                <w:p w14:paraId="6BD4DF9B" w14:textId="77777777" w:rsidR="00E73085" w:rsidRPr="00E73085" w:rsidRDefault="006B1DF7" w:rsidP="00503EC4">
                  <w:pPr>
                    <w:keepNext/>
                    <w:framePr w:hSpace="180" w:vSpace="120" w:wrap="around" w:vAnchor="text" w:hAnchor="text" w:xAlign="right" w:y="121"/>
                    <w:suppressOverlap/>
                    <w:rPr>
                      <w:rFonts w:eastAsia="Calibri"/>
                      <w:szCs w:val="22"/>
                    </w:rPr>
                  </w:pPr>
                  <w:r>
                    <w:rPr>
                      <w:rFonts w:eastAsia="Calibri"/>
                      <w:noProof/>
                      <w:szCs w:val="22"/>
                      <w:lang w:eastAsia="en-GB"/>
                    </w:rPr>
                    <w:drawing>
                      <wp:inline distT="0" distB="0" distL="0" distR="0" wp14:anchorId="4380BBB8" wp14:editId="3CAE4774">
                        <wp:extent cx="1393200" cy="2077135"/>
                        <wp:effectExtent l="0" t="0" r="0" b="0"/>
                        <wp:docPr id="1" name="Picture 1" descr="&lt;?xml version=&quot;1.0&quot; encoding=&quot;utf-8&quot;?&gt; &#10;&lt;XMLInfo&gt; &#10;&lt;DocFullFileName&gt;https://sp.bisinfo.org/sites/bi-monthly/2020-09/MeetingDocuments/All_Governors_Meeting_(All_Govs)/Working%20Documents\2020 September- All Governors Note - Cyber risk in the financial sector.docx&lt;/DocFullFileName&gt;&#10;&lt;EPSFullFileName&gt;L:\DRS\Products\Bimonthly_Meetings\Notes_AllGovernors\2020_03\graphs\g_boxA_rp.MEDCS.eps&lt;/EPSFullFileName&gt;&#10;&lt;EPSRelativeFileName&gt;&lt;/EPSRelativeFileName&gt;&#10;&lt;EPSCreated&gt;20200204 09:52:09&lt;/EPSCreated&gt;&#10;&lt;EPSInsertedBy&gt;gi004099&lt;/EPSInsertedBy&gt;&#10;&lt;EPSInsertedDate&gt;20200225 10:50:28&lt;/EPSInsertedDate&gt;&#10;&lt;EPSModifiedDate&gt;20200820 09:33:37&lt;/EPSModifiedDate&gt;&#10;&lt;EPSUpdatedInDoc&gt;20200820 09:33:40&lt;/EPSUpdatedInDoc&gt;&#10;&lt;EPSModifiedBy&gt;gi004099&lt;/EPSModifiedBy&gt;&#10;&lt;XMLInfoVersionID&gt;2.0.0.0&lt;/XMLInfoVersionID&gt; &#10;&lt;EPSGUID&gt;{c06aea3a-310a-4e36-8d45-f63011bc3313}&lt;/EPSGUID&gt;&#10;&lt;/XMLInfo&gt; &#10;" title="g_boxA_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93200" cy="2077135"/>
                                </a:xfrm>
                                <a:prstGeom prst="rect">
                                  <a:avLst/>
                                </a:prstGeom>
                              </pic:spPr>
                            </pic:pic>
                          </a:graphicData>
                        </a:graphic>
                      </wp:inline>
                    </w:drawing>
                  </w:r>
                </w:p>
              </w:tc>
            </w:tr>
            <w:tr w:rsidR="00E73085" w:rsidRPr="00503EC4" w14:paraId="2BC8EFE6" w14:textId="77777777" w:rsidTr="00CE4E84">
              <w:tblPrEx>
                <w:tblBorders>
                  <w:left w:val="none" w:sz="0" w:space="0" w:color="auto"/>
                  <w:bottom w:val="none" w:sz="0" w:space="0" w:color="auto"/>
                  <w:right w:val="none" w:sz="0" w:space="0" w:color="auto"/>
                </w:tblBorders>
                <w:tblCellMar>
                  <w:left w:w="0" w:type="dxa"/>
                  <w:right w:w="0" w:type="dxa"/>
                </w:tblCellMar>
              </w:tblPrEx>
              <w:trPr>
                <w:cantSplit/>
              </w:trPr>
              <w:tc>
                <w:tcPr>
                  <w:tcW w:w="9252" w:type="dxa"/>
                  <w:gridSpan w:val="8"/>
                  <w:tcBorders>
                    <w:top w:val="nil"/>
                    <w:bottom w:val="single" w:sz="4" w:space="0" w:color="auto"/>
                  </w:tcBorders>
                </w:tcPr>
                <w:p w14:paraId="06A0F67C" w14:textId="77777777" w:rsidR="00E73085" w:rsidRPr="00E73085" w:rsidRDefault="00E73085" w:rsidP="00503EC4">
                  <w:pPr>
                    <w:framePr w:hSpace="180" w:vSpace="120" w:wrap="around" w:vAnchor="text" w:hAnchor="text" w:xAlign="right" w:y="121"/>
                    <w:spacing w:before="60" w:after="120"/>
                    <w:suppressOverlap/>
                    <w:jc w:val="both"/>
                    <w:rPr>
                      <w:sz w:val="15"/>
                    </w:rPr>
                  </w:pPr>
                  <w:r w:rsidRPr="00E73085">
                    <w:rPr>
                      <w:sz w:val="15"/>
                      <w:vertAlign w:val="superscript"/>
                    </w:rPr>
                    <w:t>1</w:t>
                  </w:r>
                  <w:proofErr w:type="gramStart"/>
                  <w:r w:rsidRPr="00E73085">
                    <w:rPr>
                      <w:sz w:val="15"/>
                    </w:rPr>
                    <w:t>  Finance</w:t>
                  </w:r>
                  <w:proofErr w:type="gramEnd"/>
                  <w:r w:rsidRPr="00E73085">
                    <w:rPr>
                      <w:sz w:val="15"/>
                    </w:rPr>
                    <w:t xml:space="preserve"> and insurance.    </w:t>
                  </w:r>
                  <w:r w:rsidRPr="00E73085">
                    <w:rPr>
                      <w:sz w:val="15"/>
                      <w:vertAlign w:val="superscript"/>
                    </w:rPr>
                    <w:t>2</w:t>
                  </w:r>
                  <w:proofErr w:type="gramStart"/>
                  <w:r w:rsidRPr="00E73085">
                    <w:rPr>
                      <w:sz w:val="15"/>
                    </w:rPr>
                    <w:t>  Manufacturing</w:t>
                  </w:r>
                  <w:proofErr w:type="gramEnd"/>
                  <w:r w:rsidRPr="00E73085">
                    <w:rPr>
                      <w:sz w:val="15"/>
                    </w:rPr>
                    <w:t xml:space="preserve"> and retail trade.    </w:t>
                  </w:r>
                  <w:r w:rsidRPr="00E73085">
                    <w:rPr>
                      <w:sz w:val="15"/>
                      <w:vertAlign w:val="superscript"/>
                    </w:rPr>
                    <w:t>3</w:t>
                  </w:r>
                  <w:proofErr w:type="gramStart"/>
                  <w:r w:rsidRPr="00E73085">
                    <w:rPr>
                      <w:sz w:val="15"/>
                    </w:rPr>
                    <w:t>  Information</w:t>
                  </w:r>
                  <w:proofErr w:type="gramEnd"/>
                  <w:r w:rsidRPr="00E73085">
                    <w:rPr>
                      <w:sz w:val="15"/>
                    </w:rPr>
                    <w:t xml:space="preserve"> and Communications, and Professional, Scientific and Technical Services.   </w:t>
                  </w:r>
                  <w:r w:rsidRPr="00E73085">
                    <w:rPr>
                      <w:sz w:val="15"/>
                      <w:vertAlign w:val="superscript"/>
                    </w:rPr>
                    <w:t>4</w:t>
                  </w:r>
                  <w:proofErr w:type="gramStart"/>
                  <w:r w:rsidRPr="00E73085">
                    <w:rPr>
                      <w:sz w:val="15"/>
                    </w:rPr>
                    <w:t>  Administration</w:t>
                  </w:r>
                  <w:proofErr w:type="gramEnd"/>
                  <w:r w:rsidRPr="00E73085">
                    <w:rPr>
                      <w:sz w:val="15"/>
                    </w:rPr>
                    <w:t xml:space="preserve"> and Support.    </w:t>
                  </w:r>
                  <w:r w:rsidRPr="00E73085">
                    <w:rPr>
                      <w:sz w:val="15"/>
                      <w:vertAlign w:val="superscript"/>
                    </w:rPr>
                    <w:t>5</w:t>
                  </w:r>
                  <w:proofErr w:type="gramStart"/>
                  <w:r w:rsidRPr="00E73085">
                    <w:rPr>
                      <w:sz w:val="15"/>
                    </w:rPr>
                    <w:t>  Phishing</w:t>
                  </w:r>
                  <w:proofErr w:type="gramEnd"/>
                  <w:r w:rsidRPr="00E73085">
                    <w:rPr>
                      <w:sz w:val="15"/>
                    </w:rPr>
                    <w:t>/skimming and privacy violations.    </w:t>
                  </w:r>
                  <w:r w:rsidRPr="00E73085">
                    <w:rPr>
                      <w:sz w:val="15"/>
                      <w:vertAlign w:val="superscript"/>
                    </w:rPr>
                    <w:t>6</w:t>
                  </w:r>
                  <w:proofErr w:type="gramStart"/>
                  <w:r w:rsidRPr="00E73085">
                    <w:rPr>
                      <w:sz w:val="15"/>
                    </w:rPr>
                    <w:t>  IT</w:t>
                  </w:r>
                  <w:proofErr w:type="gramEnd"/>
                  <w:r w:rsidRPr="00E73085">
                    <w:rPr>
                      <w:sz w:val="15"/>
                    </w:rPr>
                    <w:t xml:space="preserve"> implementation errors, security incidents and other.    </w:t>
                  </w:r>
                  <w:r w:rsidRPr="00E73085">
                    <w:rPr>
                      <w:sz w:val="15"/>
                      <w:vertAlign w:val="superscript"/>
                    </w:rPr>
                    <w:t>7</w:t>
                  </w:r>
                  <w:proofErr w:type="gramStart"/>
                  <w:r w:rsidRPr="00E73085">
                    <w:rPr>
                      <w:sz w:val="15"/>
                    </w:rPr>
                    <w:t>  </w:t>
                  </w:r>
                  <w:r w:rsidR="00A73500">
                    <w:rPr>
                      <w:sz w:val="15"/>
                    </w:rPr>
                    <w:t>Elasticity</w:t>
                  </w:r>
                  <w:proofErr w:type="gramEnd"/>
                  <w:r w:rsidR="00A73500">
                    <w:rPr>
                      <w:sz w:val="15"/>
                    </w:rPr>
                    <w:t xml:space="preserve"> </w:t>
                  </w:r>
                  <w:r w:rsidR="00256103">
                    <w:rPr>
                      <w:sz w:val="15"/>
                    </w:rPr>
                    <w:t>of cyber costs</w:t>
                  </w:r>
                  <w:r w:rsidR="00A73500">
                    <w:rPr>
                      <w:sz w:val="15"/>
                    </w:rPr>
                    <w:t xml:space="preserve"> with respect to </w:t>
                  </w:r>
                  <w:r w:rsidR="00425C89">
                    <w:rPr>
                      <w:sz w:val="15"/>
                    </w:rPr>
                    <w:t xml:space="preserve">the log of firm </w:t>
                  </w:r>
                  <w:r w:rsidRPr="00E73085">
                    <w:rPr>
                      <w:sz w:val="15"/>
                    </w:rPr>
                    <w:t>revenues.    </w:t>
                  </w:r>
                  <w:r w:rsidRPr="00E73085">
                    <w:rPr>
                      <w:sz w:val="15"/>
                      <w:vertAlign w:val="superscript"/>
                    </w:rPr>
                    <w:t>8</w:t>
                  </w:r>
                  <w:proofErr w:type="gramStart"/>
                  <w:r w:rsidRPr="00E73085">
                    <w:rPr>
                      <w:sz w:val="15"/>
                    </w:rPr>
                    <w:t>  </w:t>
                  </w:r>
                  <w:r w:rsidR="004200EA">
                    <w:rPr>
                      <w:sz w:val="15"/>
                    </w:rPr>
                    <w:t>Marginal</w:t>
                  </w:r>
                  <w:proofErr w:type="gramEnd"/>
                  <w:r w:rsidR="004200EA">
                    <w:rPr>
                      <w:sz w:val="15"/>
                    </w:rPr>
                    <w:t xml:space="preserve"> effect. </w:t>
                  </w:r>
                  <w:r w:rsidRPr="00E73085">
                    <w:rPr>
                      <w:sz w:val="15"/>
                    </w:rPr>
                    <w:t>Connectivity refers to the number of cyber incidents connected to any given cyber event.    </w:t>
                  </w:r>
                  <w:r w:rsidRPr="00E73085">
                    <w:rPr>
                      <w:sz w:val="15"/>
                      <w:vertAlign w:val="superscript"/>
                    </w:rPr>
                    <w:t>9</w:t>
                  </w:r>
                  <w:r w:rsidRPr="00E73085">
                    <w:rPr>
                      <w:sz w:val="15"/>
                    </w:rPr>
                    <w:t>  </w:t>
                  </w:r>
                  <w:r w:rsidR="004200EA">
                    <w:rPr>
                      <w:sz w:val="15"/>
                    </w:rPr>
                    <w:t xml:space="preserve"> </w:t>
                  </w:r>
                  <w:r w:rsidRPr="00E73085">
                    <w:rPr>
                      <w:sz w:val="15"/>
                    </w:rPr>
                    <w:t>Cloud refers to reliance on cloud services at the industry level. For presentational purposes, coefficients have been multiplied by minus one and represent marginal gains.</w:t>
                  </w:r>
                </w:p>
                <w:p w14:paraId="681C9690" w14:textId="77777777" w:rsidR="00E73085" w:rsidRPr="00E73085" w:rsidRDefault="00E73085" w:rsidP="00503EC4">
                  <w:pPr>
                    <w:framePr w:hSpace="180" w:vSpace="120" w:wrap="around" w:vAnchor="text" w:hAnchor="text" w:xAlign="right" w:y="121"/>
                    <w:spacing w:before="60" w:after="120"/>
                    <w:suppressOverlap/>
                    <w:jc w:val="both"/>
                    <w:rPr>
                      <w:sz w:val="15"/>
                      <w:lang w:val="fr-CH"/>
                    </w:rPr>
                  </w:pPr>
                  <w:r w:rsidRPr="00E73085">
                    <w:rPr>
                      <w:sz w:val="15"/>
                      <w:lang w:val="fr-CH"/>
                    </w:rPr>
                    <w:t xml:space="preserve">Sources: Aldasoro </w:t>
                  </w:r>
                  <w:r w:rsidR="00ED6B6D">
                    <w:rPr>
                      <w:sz w:val="15"/>
                      <w:lang w:val="fr-CH"/>
                    </w:rPr>
                    <w:t>et al.</w:t>
                  </w:r>
                  <w:r w:rsidRPr="00E73085">
                    <w:rPr>
                      <w:sz w:val="15"/>
                      <w:lang w:val="fr-CH"/>
                    </w:rPr>
                    <w:t xml:space="preserve"> (2020</w:t>
                  </w:r>
                  <w:r w:rsidR="00155FCF">
                    <w:rPr>
                      <w:sz w:val="15"/>
                      <w:lang w:val="fr-CH"/>
                    </w:rPr>
                    <w:t>b</w:t>
                  </w:r>
                  <w:r w:rsidRPr="00E73085">
                    <w:rPr>
                      <w:sz w:val="15"/>
                      <w:lang w:val="fr-CH"/>
                    </w:rPr>
                    <w:t xml:space="preserve">); </w:t>
                  </w:r>
                  <w:proofErr w:type="spellStart"/>
                  <w:r w:rsidRPr="00E73085">
                    <w:rPr>
                      <w:sz w:val="15"/>
                      <w:lang w:val="fr-CH"/>
                    </w:rPr>
                    <w:t>Advisen</w:t>
                  </w:r>
                  <w:proofErr w:type="spellEnd"/>
                  <w:r w:rsidRPr="00E73085">
                    <w:rPr>
                      <w:sz w:val="15"/>
                      <w:lang w:val="fr-CH"/>
                    </w:rPr>
                    <w:t>.</w:t>
                  </w:r>
                </w:p>
              </w:tc>
            </w:tr>
          </w:tbl>
          <w:p w14:paraId="56A81F5F" w14:textId="77777777" w:rsidR="0093790D" w:rsidRPr="00434070" w:rsidRDefault="0093790D" w:rsidP="00947025">
            <w:pPr>
              <w:pStyle w:val="BoxParagraph"/>
              <w:spacing w:before="120" w:after="0" w:line="240" w:lineRule="auto"/>
              <w:ind w:firstLine="0"/>
              <w:rPr>
                <w:sz w:val="15"/>
                <w:szCs w:val="15"/>
                <w:lang w:val="fr-CH"/>
              </w:rPr>
            </w:pPr>
          </w:p>
        </w:tc>
      </w:tr>
    </w:tbl>
    <w:p w14:paraId="46A4FA80" w14:textId="77777777" w:rsidR="008C57A8" w:rsidRPr="00434070" w:rsidRDefault="008C57A8">
      <w:pPr>
        <w:spacing w:after="160" w:line="259" w:lineRule="auto"/>
        <w:rPr>
          <w:lang w:val="fr-CH"/>
        </w:rPr>
      </w:pPr>
    </w:p>
    <w:p w14:paraId="422ADBFD" w14:textId="77777777" w:rsidR="008C57A8" w:rsidRPr="00434070" w:rsidRDefault="008C57A8">
      <w:pPr>
        <w:spacing w:after="160" w:line="259" w:lineRule="auto"/>
        <w:rPr>
          <w:lang w:val="fr-CH"/>
        </w:rPr>
      </w:pPr>
      <w:r w:rsidRPr="00434070">
        <w:rPr>
          <w:lang w:val="fr-CH"/>
        </w:rPr>
        <w:br w:type="page"/>
      </w:r>
    </w:p>
    <w:p w14:paraId="01464A70" w14:textId="77777777" w:rsidR="001F65C8" w:rsidRDefault="008C57A8" w:rsidP="001908F9">
      <w:pPr>
        <w:spacing w:after="160" w:line="259" w:lineRule="auto"/>
        <w:jc w:val="both"/>
      </w:pPr>
      <w:r w:rsidRPr="009A7DA7">
        <w:lastRenderedPageBreak/>
        <w:t>These estimates consider the average actual (ex post) costs of cyber incidents, but do not take into account the (</w:t>
      </w:r>
      <w:proofErr w:type="spellStart"/>
      <w:r w:rsidRPr="009A7DA7">
        <w:t>ex ante</w:t>
      </w:r>
      <w:proofErr w:type="spellEnd"/>
      <w:r w:rsidRPr="009A7DA7">
        <w:t xml:space="preserve">) risk of tail events. Value-at-risk models consider unexpected losses that materialise in particularly adverse scenarios. Using ORX data, </w:t>
      </w:r>
      <w:r>
        <w:t>Aldasoro et al. (2020a)</w:t>
      </w:r>
      <w:r w:rsidRPr="009A7DA7">
        <w:t xml:space="preserve"> suggests that, while cyber losses are on average a very small fraction of banks’ total operational risk losses, the distribution could be quite skewed and cyber risk could account for up to a third of total operational value-at-risk (</w:t>
      </w:r>
      <w:r>
        <w:t xml:space="preserve">for more details see </w:t>
      </w:r>
      <w:r w:rsidRPr="009A7DA7">
        <w:t>Box B).</w:t>
      </w:r>
      <w:r w:rsidRPr="009A7DA7">
        <w:rPr>
          <w:rStyle w:val="FootnoteReference"/>
        </w:rPr>
        <w:footnoteReference w:id="9"/>
      </w:r>
      <w:r w:rsidRPr="003A2249">
        <w:t>  </w:t>
      </w:r>
      <w:r w:rsidRPr="009A7DA7">
        <w:t xml:space="preserve">These estimates do not consider contagion effects. According to some estimates </w:t>
      </w:r>
      <w:r>
        <w:t xml:space="preserve">by </w:t>
      </w:r>
      <w:proofErr w:type="spellStart"/>
      <w:r>
        <w:t>Bouveret</w:t>
      </w:r>
      <w:proofErr w:type="spellEnd"/>
      <w:r>
        <w:t xml:space="preserve"> (2018) </w:t>
      </w:r>
      <w:r w:rsidRPr="009A7DA7">
        <w:t>based on data collected from media and newspaper articles over the 2009</w:t>
      </w:r>
      <w:r>
        <w:t>–</w:t>
      </w:r>
      <w:r w:rsidRPr="009A7DA7">
        <w:t>17</w:t>
      </w:r>
      <w:r>
        <w:t xml:space="preserve"> period</w:t>
      </w:r>
      <w:r w:rsidRPr="009A7DA7">
        <w:t xml:space="preserve">, the value-at-risk for the whole banking sector, taking into account contagion effects, could </w:t>
      </w:r>
      <w:r>
        <w:t xml:space="preserve">amount to </w:t>
      </w:r>
      <w:r w:rsidRPr="009A7DA7">
        <w:t>14</w:t>
      </w:r>
      <w:r>
        <w:t>–</w:t>
      </w:r>
      <w:r w:rsidRPr="009A7DA7">
        <w:t>19% of banks’ aggregate net income.</w:t>
      </w:r>
      <w:r w:rsidRPr="009A7DA7">
        <w:rPr>
          <w:rStyle w:val="FootnoteReference"/>
        </w:rPr>
        <w:footnoteReference w:id="10"/>
      </w:r>
      <w:r w:rsidRPr="003A2249">
        <w:t>  </w:t>
      </w:r>
      <w:r w:rsidRPr="009A7DA7">
        <w:t xml:space="preserve">Moreover, bottom-up stress testing by the Monetary Authority of Singapore suggests that, </w:t>
      </w:r>
      <w:r>
        <w:t>without</w:t>
      </w:r>
      <w:r w:rsidRPr="009A7DA7">
        <w:t xml:space="preserve"> specific mitigating measures, severe direct and indirect </w:t>
      </w:r>
      <w:proofErr w:type="spellStart"/>
      <w:r w:rsidRPr="009A7DA7">
        <w:t>cyber attacks</w:t>
      </w:r>
      <w:proofErr w:type="spellEnd"/>
      <w:r w:rsidRPr="009A7DA7">
        <w:t xml:space="preserve"> could reduce aggregate banks’ total capital adequacy ratios by up to 0.4 percentage </w:t>
      </w:r>
      <w:r w:rsidRPr="00947025">
        <w:t>points.</w:t>
      </w:r>
      <w:r w:rsidRPr="00947025">
        <w:rPr>
          <w:rStyle w:val="FootnoteReference"/>
        </w:rPr>
        <w:footnoteReference w:id="11"/>
      </w:r>
    </w:p>
    <w:p w14:paraId="00A24FC8" w14:textId="77777777" w:rsidR="008C57A8" w:rsidRPr="006E2517" w:rsidRDefault="008C57A8" w:rsidP="008C57A8">
      <w:pPr>
        <w:pStyle w:val="IndentedHeading1"/>
      </w:pPr>
      <w:r>
        <w:t>5</w:t>
      </w:r>
      <w:r w:rsidRPr="006E2517">
        <w:t>.</w:t>
      </w:r>
      <w:r w:rsidRPr="006E2517">
        <w:tab/>
        <w:t>Cyber risk and financial stability</w:t>
      </w:r>
    </w:p>
    <w:p w14:paraId="6DDB5BC2" w14:textId="77777777" w:rsidR="008C57A8" w:rsidRPr="00947025" w:rsidRDefault="008C57A8" w:rsidP="001908F9">
      <w:pPr>
        <w:spacing w:after="160" w:line="259" w:lineRule="auto"/>
        <w:jc w:val="both"/>
      </w:pPr>
      <w:r w:rsidRPr="00947025">
        <w:t>A business disruption to a large financial institution and/or FMI c</w:t>
      </w:r>
      <w:r>
        <w:t>an</w:t>
      </w:r>
      <w:r w:rsidRPr="00947025">
        <w:t xml:space="preserve"> have a significant systemic impact, beyond the financial system</w:t>
      </w:r>
      <w:r>
        <w:t xml:space="preserve"> (Kopp et al., 2017)</w:t>
      </w:r>
      <w:r w:rsidRPr="00947025">
        <w:t>. Risk concentration</w:t>
      </w:r>
      <w:r>
        <w:t xml:space="preserve">, </w:t>
      </w:r>
      <w:r w:rsidRPr="00947025">
        <w:t>interconnections</w:t>
      </w:r>
      <w:r>
        <w:t xml:space="preserve"> </w:t>
      </w:r>
      <w:r w:rsidRPr="00947025">
        <w:t xml:space="preserve">and the lack of substitutes in the case of FMIs contribute to </w:t>
      </w:r>
      <w:proofErr w:type="spellStart"/>
      <w:r w:rsidRPr="00947025">
        <w:t>spillover</w:t>
      </w:r>
      <w:proofErr w:type="spellEnd"/>
      <w:r w:rsidRPr="00947025">
        <w:t xml:space="preserve"> effects. Models that take </w:t>
      </w:r>
      <w:proofErr w:type="spellStart"/>
      <w:r w:rsidRPr="00947025">
        <w:t>spillover</w:t>
      </w:r>
      <w:proofErr w:type="spellEnd"/>
      <w:r w:rsidRPr="00947025">
        <w:t xml:space="preserve"> effects across sectors into account suggest that the losses could be sizeable.</w:t>
      </w:r>
      <w:r>
        <w:t xml:space="preserve"> Dreyer et al. (2018)</w:t>
      </w:r>
      <w:r w:rsidRPr="00947025">
        <w:t xml:space="preserve"> suggests that the cost of </w:t>
      </w:r>
      <w:proofErr w:type="spellStart"/>
      <w:r w:rsidRPr="00947025">
        <w:t>cyber crime</w:t>
      </w:r>
      <w:proofErr w:type="spellEnd"/>
      <w:r w:rsidRPr="00947025">
        <w:t xml:space="preserve"> for all economic sectors could be substantial, at more than 1% of global GDP.</w:t>
      </w:r>
      <w:r w:rsidRPr="00947025">
        <w:rPr>
          <w:rStyle w:val="FootnoteReference"/>
        </w:rPr>
        <w:footnoteReference w:id="12"/>
      </w:r>
      <w:r w:rsidRPr="006E2517">
        <w:t>  </w:t>
      </w:r>
      <w:r>
        <w:t>T</w:t>
      </w:r>
      <w:r w:rsidRPr="00947025">
        <w:t>he quantification of the systemic impact depends on a number of assumptions</w:t>
      </w:r>
      <w:r>
        <w:t xml:space="preserve"> and </w:t>
      </w:r>
      <w:r w:rsidRPr="00947025">
        <w:t>can be assessed from at least three different angles.</w:t>
      </w:r>
    </w:p>
    <w:p w14:paraId="135C1E58" w14:textId="77777777" w:rsidR="008C57A8" w:rsidRDefault="008C57A8" w:rsidP="001908F9">
      <w:pPr>
        <w:spacing w:after="160" w:line="259" w:lineRule="auto"/>
        <w:jc w:val="both"/>
      </w:pPr>
      <w:r w:rsidRPr="006E2517">
        <w:t xml:space="preserve">A first angle focuses on </w:t>
      </w:r>
      <w:r w:rsidRPr="006E2517">
        <w:rPr>
          <w:b/>
        </w:rPr>
        <w:t>potential scenarios</w:t>
      </w:r>
      <w:r>
        <w:rPr>
          <w:b/>
        </w:rPr>
        <w:t xml:space="preserve"> </w:t>
      </w:r>
      <w:r>
        <w:t>(Boer and Vasquez, 2017; MAS, 2018; ESRB, 2020)</w:t>
      </w:r>
      <w:r w:rsidRPr="006E2517">
        <w:t xml:space="preserve">.  These can include a </w:t>
      </w:r>
      <w:proofErr w:type="spellStart"/>
      <w:r w:rsidRPr="006E2517">
        <w:t>cyber attack</w:t>
      </w:r>
      <w:proofErr w:type="spellEnd"/>
      <w:r w:rsidRPr="006E2517">
        <w:t xml:space="preserve"> affecting the availability of a major payments system</w:t>
      </w:r>
      <w:r>
        <w:t xml:space="preserve"> or FMI</w:t>
      </w:r>
      <w:r w:rsidRPr="006E2517">
        <w:t>, or a breach that compromises confidentiality of key financial or personal data.</w:t>
      </w:r>
      <w:r>
        <w:t xml:space="preserve"> For instance, </w:t>
      </w:r>
      <w:r w:rsidRPr="0054711D">
        <w:t xml:space="preserve">Kopp and </w:t>
      </w:r>
      <w:proofErr w:type="spellStart"/>
      <w:r w:rsidRPr="0054711D">
        <w:t>Kaffenberger</w:t>
      </w:r>
      <w:proofErr w:type="spellEnd"/>
      <w:r>
        <w:t xml:space="preserve"> (2019)</w:t>
      </w:r>
      <w:r w:rsidRPr="008964C4">
        <w:t xml:space="preserve"> </w:t>
      </w:r>
      <w:r>
        <w:t xml:space="preserve">consider a scenario in which a central counterparty (CCP) is the subject of a </w:t>
      </w:r>
      <w:proofErr w:type="spellStart"/>
      <w:r>
        <w:t>cyber attack</w:t>
      </w:r>
      <w:proofErr w:type="spellEnd"/>
      <w:r>
        <w:t>. I</w:t>
      </w:r>
      <w:r w:rsidRPr="006E2517">
        <w:t xml:space="preserve">ntentional data manipulation could be especially damaging, as it may erode confidence, triggering feedback loops, and require a prolonged recovery period. In cases where the intent is to cause damage, </w:t>
      </w:r>
      <w:proofErr w:type="spellStart"/>
      <w:r w:rsidRPr="006E2517">
        <w:t>eg</w:t>
      </w:r>
      <w:proofErr w:type="spellEnd"/>
      <w:r w:rsidRPr="006E2517">
        <w:t xml:space="preserve"> as part of a terrorist attack or as a form of cyber warfare, costs may be much higher than in the case of theft.</w:t>
      </w:r>
      <w:r>
        <w:t xml:space="preserve"> </w:t>
      </w:r>
    </w:p>
    <w:p w14:paraId="5004E0AC" w14:textId="77777777" w:rsidR="008C57A8" w:rsidRDefault="008C57A8">
      <w:pPr>
        <w:spacing w:after="160" w:line="259" w:lineRule="auto"/>
      </w:pPr>
      <w:r>
        <w:br w:type="page"/>
      </w:r>
    </w:p>
    <w:p w14:paraId="662C03FE" w14:textId="77777777" w:rsidR="008C57A8" w:rsidRDefault="008C57A8" w:rsidP="008C57A8">
      <w:pPr>
        <w:pStyle w:val="Paragraph"/>
        <w:ind w:firstLine="0"/>
      </w:pPr>
    </w:p>
    <w:tbl>
      <w:tblPr>
        <w:tblStyle w:val="TableGrid"/>
        <w:tblpPr w:leftFromText="180" w:rightFromText="180" w:topFromText="120" w:bottomFromText="240" w:vertAnchor="text" w:tblpXSpec="right" w:tblpY="121"/>
        <w:tblOverlap w:val="never"/>
        <w:tblW w:w="9582" w:type="dxa"/>
        <w:tblBorders>
          <w:top w:val="single" w:sz="4" w:space="0" w:color="BCBDBC"/>
          <w:left w:val="single" w:sz="4" w:space="0" w:color="BCBDBC"/>
          <w:bottom w:val="single" w:sz="4" w:space="0" w:color="BCBDBC"/>
          <w:right w:val="single" w:sz="4" w:space="0" w:color="BCBDBC"/>
          <w:insideH w:val="none" w:sz="0" w:space="0" w:color="auto"/>
          <w:insideV w:val="none" w:sz="0" w:space="0" w:color="auto"/>
        </w:tblBorders>
        <w:tblLayout w:type="fixed"/>
        <w:tblCellMar>
          <w:left w:w="170" w:type="dxa"/>
          <w:right w:w="170" w:type="dxa"/>
        </w:tblCellMar>
        <w:tblLook w:val="04A0" w:firstRow="1" w:lastRow="0" w:firstColumn="1" w:lastColumn="0" w:noHBand="0" w:noVBand="1"/>
      </w:tblPr>
      <w:tblGrid>
        <w:gridCol w:w="9582"/>
      </w:tblGrid>
      <w:tr w:rsidR="001F65C8" w:rsidRPr="00503EC4" w14:paraId="49DE4623" w14:textId="77777777" w:rsidTr="00D21A18">
        <w:trPr>
          <w:trHeight w:val="983"/>
        </w:trPr>
        <w:tc>
          <w:tcPr>
            <w:tcW w:w="9582" w:type="dxa"/>
            <w:tcMar>
              <w:top w:w="0" w:type="dxa"/>
              <w:left w:w="170" w:type="dxa"/>
              <w:bottom w:w="0" w:type="dxa"/>
              <w:right w:w="170" w:type="dxa"/>
            </w:tcMar>
          </w:tcPr>
          <w:p w14:paraId="41A21B7D" w14:textId="77777777" w:rsidR="001F65C8" w:rsidRPr="006E2517" w:rsidRDefault="001F65C8" w:rsidP="00D21A18">
            <w:pPr>
              <w:pStyle w:val="BoxNumber"/>
            </w:pPr>
            <w:r w:rsidRPr="006E2517">
              <w:t>Box B</w:t>
            </w:r>
          </w:p>
          <w:p w14:paraId="030559B0" w14:textId="77777777" w:rsidR="001F65C8" w:rsidRPr="006E2517" w:rsidRDefault="001F65C8" w:rsidP="00D21A18">
            <w:pPr>
              <w:pStyle w:val="BoxFirstParagraph"/>
              <w:rPr>
                <w:rFonts w:cs="Segoe UI"/>
                <w:color w:val="AA322F"/>
                <w:sz w:val="24"/>
              </w:rPr>
            </w:pPr>
            <w:r w:rsidRPr="006E2517">
              <w:rPr>
                <w:rFonts w:cs="Segoe UI"/>
                <w:color w:val="AA322F"/>
                <w:sz w:val="24"/>
              </w:rPr>
              <w:t xml:space="preserve">Operational and cyber risks in the </w:t>
            </w:r>
            <w:r>
              <w:rPr>
                <w:rFonts w:cs="Segoe UI"/>
                <w:color w:val="AA322F"/>
                <w:sz w:val="24"/>
              </w:rPr>
              <w:t>banking</w:t>
            </w:r>
            <w:r w:rsidRPr="006E2517">
              <w:rPr>
                <w:rFonts w:cs="Segoe UI"/>
                <w:color w:val="AA322F"/>
                <w:sz w:val="24"/>
              </w:rPr>
              <w:t xml:space="preserve"> sector </w:t>
            </w:r>
          </w:p>
          <w:p w14:paraId="7F4E6F27" w14:textId="77777777" w:rsidR="001F65C8" w:rsidRPr="006E2517" w:rsidRDefault="001F65C8" w:rsidP="00D21A18">
            <w:pPr>
              <w:pStyle w:val="BoxFirstParagraph"/>
            </w:pPr>
            <w:r w:rsidRPr="006E2517">
              <w:t xml:space="preserve">Cyber- and IT-related risks </w:t>
            </w:r>
            <w:r>
              <w:t>are</w:t>
            </w:r>
            <w:r w:rsidRPr="006E2517">
              <w:t xml:space="preserve"> a subset of operational risk. </w:t>
            </w:r>
            <w:r w:rsidR="00155FCF">
              <w:t xml:space="preserve">A recent research by Aldasoro </w:t>
            </w:r>
            <w:r w:rsidR="00ED6B6D">
              <w:t>et al.</w:t>
            </w:r>
            <w:r w:rsidR="00155FCF">
              <w:t xml:space="preserve"> (2020a)</w:t>
            </w:r>
            <w:r w:rsidRPr="006E2517">
              <w:t xml:space="preserve"> investigates operational and cyber risks using a unique cross-country data set </w:t>
            </w:r>
            <w:r w:rsidR="00CE771C">
              <w:t xml:space="preserve">from ORX </w:t>
            </w:r>
            <w:r w:rsidRPr="006E2517">
              <w:t>of over 700,000 operational loss events at 74 large banks across the globe. The study leverages a granular classification of operational risk events to construct a range for the frequency and cost of cyber risk.</w:t>
            </w:r>
          </w:p>
          <w:p w14:paraId="7F0B308A" w14:textId="77777777" w:rsidR="001F65C8" w:rsidRPr="006E2517" w:rsidRDefault="001F65C8" w:rsidP="00155FCF">
            <w:pPr>
              <w:pStyle w:val="BoxParagraph"/>
              <w:ind w:firstLine="0"/>
            </w:pPr>
            <w:r w:rsidRPr="006E2517">
              <w:t xml:space="preserve">Cyber losses represent a small share of </w:t>
            </w:r>
            <w:r w:rsidR="0017217B">
              <w:t xml:space="preserve">banks’ </w:t>
            </w:r>
            <w:r w:rsidRPr="006E2517">
              <w:t xml:space="preserve">overall operational losses (less than 0.2%). The frequency of cyber incidents is small </w:t>
            </w:r>
            <w:r>
              <w:t>in relation to all</w:t>
            </w:r>
            <w:r w:rsidRPr="006E2517">
              <w:t xml:space="preserve"> operational risk </w:t>
            </w:r>
            <w:r>
              <w:t xml:space="preserve">events </w:t>
            </w:r>
            <w:r w:rsidRPr="006E2517">
              <w:t>(</w:t>
            </w:r>
            <w:r>
              <w:t>Graph B1, left</w:t>
            </w:r>
            <w:r w:rsidR="00802032">
              <w:t>-</w:t>
            </w:r>
            <w:r>
              <w:t xml:space="preserve">hand </w:t>
            </w:r>
            <w:r w:rsidRPr="006E2517">
              <w:t>panel)</w:t>
            </w:r>
            <w:r>
              <w:t xml:space="preserve"> but it has increased </w:t>
            </w:r>
            <w:r w:rsidRPr="006E2517">
              <w:t>in recent years.</w:t>
            </w:r>
          </w:p>
          <w:p w14:paraId="6B521B56" w14:textId="77777777" w:rsidR="001F65C8" w:rsidRPr="006E2517" w:rsidRDefault="001F65C8" w:rsidP="00155FCF">
            <w:pPr>
              <w:pStyle w:val="BoxParagraph"/>
              <w:ind w:firstLine="0"/>
            </w:pPr>
            <w:r w:rsidRPr="006E2517">
              <w:t xml:space="preserve">One way to assess potential losses from cyber incidents is </w:t>
            </w:r>
            <w:r>
              <w:t xml:space="preserve">by estimating </w:t>
            </w:r>
            <w:r w:rsidRPr="006E2517">
              <w:t>value-at-risk (</w:t>
            </w:r>
            <w:proofErr w:type="spellStart"/>
            <w:r w:rsidRPr="006E2517">
              <w:t>VaR</w:t>
            </w:r>
            <w:proofErr w:type="spellEnd"/>
            <w:r w:rsidRPr="006E2517">
              <w:t>)</w:t>
            </w:r>
            <w:r>
              <w:t xml:space="preserve"> measures</w:t>
            </w:r>
            <w:r w:rsidRPr="006E2517">
              <w:t xml:space="preserve">. The </w:t>
            </w:r>
            <w:proofErr w:type="spellStart"/>
            <w:r w:rsidRPr="006E2517">
              <w:t>VaR</w:t>
            </w:r>
            <w:proofErr w:type="spellEnd"/>
            <w:r w:rsidRPr="006E2517">
              <w:t xml:space="preserve"> indicates the level of risk to which a firm, a portfolio or a single position may be exposed over a given time period. </w:t>
            </w:r>
            <w:r>
              <w:t>Estimates suggest that in the sample considered t</w:t>
            </w:r>
            <w:r w:rsidRPr="006E2517">
              <w:t>he operational</w:t>
            </w:r>
            <w:r>
              <w:t xml:space="preserve"> </w:t>
            </w:r>
            <w:proofErr w:type="spellStart"/>
            <w:r w:rsidRPr="006E2517">
              <w:t>VaR</w:t>
            </w:r>
            <w:proofErr w:type="spellEnd"/>
            <w:r w:rsidRPr="006E2517">
              <w:t xml:space="preserve"> range</w:t>
            </w:r>
            <w:r>
              <w:t>s</w:t>
            </w:r>
            <w:r w:rsidRPr="006E2517">
              <w:t xml:space="preserve"> from around 6% to 12% of income, depending on the method used (right-hand panel). The cyber</w:t>
            </w:r>
            <w:r>
              <w:t xml:space="preserve"> </w:t>
            </w:r>
            <w:proofErr w:type="spellStart"/>
            <w:r w:rsidRPr="006E2517">
              <w:t>VaR</w:t>
            </w:r>
            <w:proofErr w:type="spellEnd"/>
            <w:r w:rsidRPr="006E2517">
              <w:t xml:space="preserve">, in turn, can range from 0.2% to 4.2% of income. This amounts to around a third of operational </w:t>
            </w:r>
            <w:proofErr w:type="spellStart"/>
            <w:r w:rsidRPr="006E2517">
              <w:t>VaR</w:t>
            </w:r>
            <w:r>
              <w:t>.</w:t>
            </w:r>
            <w:proofErr w:type="spellEnd"/>
            <w:r>
              <w:t xml:space="preserve"> Cyber </w:t>
            </w:r>
            <w:proofErr w:type="spellStart"/>
            <w:r>
              <w:t>VaR</w:t>
            </w:r>
            <w:proofErr w:type="spellEnd"/>
            <w:r>
              <w:t xml:space="preserve"> could indeed be relatively high because </w:t>
            </w:r>
            <w:r w:rsidR="00802032">
              <w:t>–</w:t>
            </w:r>
            <w:r>
              <w:t xml:space="preserve"> </w:t>
            </w:r>
            <w:r w:rsidR="00802032">
              <w:t>al</w:t>
            </w:r>
            <w:r>
              <w:t xml:space="preserve">though cyber risk incidents are relatively far less frequent and, on average, less costly </w:t>
            </w:r>
            <w:r w:rsidR="00802032">
              <w:t>–</w:t>
            </w:r>
            <w:r>
              <w:t xml:space="preserve"> they could in extreme cases be particularly damaging. </w:t>
            </w:r>
          </w:p>
          <w:p w14:paraId="47EFA029" w14:textId="77777777" w:rsidR="001F65C8" w:rsidRDefault="001F65C8" w:rsidP="00155FCF">
            <w:pPr>
              <w:pStyle w:val="BoxParagraph"/>
              <w:ind w:firstLine="0"/>
            </w:pPr>
            <w:r w:rsidRPr="006E2517">
              <w:t xml:space="preserve">The </w:t>
            </w:r>
            <w:r>
              <w:t>seriousness</w:t>
            </w:r>
            <w:r w:rsidRPr="006E2517">
              <w:t xml:space="preserve"> of operational and cyber </w:t>
            </w:r>
            <w:r>
              <w:t>risks</w:t>
            </w:r>
            <w:r w:rsidRPr="006E2517">
              <w:t xml:space="preserve"> depends on the supervisory environment. A higher quality of supervision – as measured by a financial and supervisory quality index – </w:t>
            </w:r>
            <w:r>
              <w:t xml:space="preserve">goes hand in hand </w:t>
            </w:r>
            <w:r w:rsidRPr="006E2517">
              <w:t xml:space="preserve">with </w:t>
            </w:r>
            <w:r>
              <w:t>smaller</w:t>
            </w:r>
            <w:r w:rsidRPr="006E2517">
              <w:t xml:space="preserve"> and </w:t>
            </w:r>
            <w:r>
              <w:t>less frequent</w:t>
            </w:r>
            <w:r w:rsidRPr="006E2517">
              <w:t xml:space="preserve"> losses.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9"/>
              <w:gridCol w:w="170"/>
              <w:gridCol w:w="3232"/>
              <w:gridCol w:w="1306"/>
            </w:tblGrid>
            <w:tr w:rsidR="001F65C8" w:rsidRPr="00933B76" w14:paraId="79113298" w14:textId="77777777" w:rsidTr="00D21A18">
              <w:trPr>
                <w:cantSplit/>
                <w:trHeight w:hRule="exact" w:val="20"/>
                <w:hidden/>
              </w:trPr>
              <w:tc>
                <w:tcPr>
                  <w:tcW w:w="9247" w:type="dxa"/>
                  <w:gridSpan w:val="4"/>
                  <w:tcBorders>
                    <w:top w:val="nil"/>
                    <w:left w:val="nil"/>
                    <w:bottom w:val="single" w:sz="4" w:space="0" w:color="auto"/>
                    <w:right w:val="nil"/>
                  </w:tcBorders>
                  <w:tcMar>
                    <w:left w:w="0" w:type="dxa"/>
                  </w:tcMar>
                </w:tcPr>
                <w:p w14:paraId="4EE030B7" w14:textId="77777777" w:rsidR="001F65C8" w:rsidRPr="00933B76" w:rsidRDefault="001F65C8" w:rsidP="00503EC4">
                  <w:pPr>
                    <w:framePr w:hSpace="180" w:vSpace="120" w:wrap="around" w:vAnchor="text" w:hAnchor="text" w:xAlign="right" w:y="121"/>
                    <w:spacing w:after="120"/>
                    <w:suppressOverlap/>
                    <w:rPr>
                      <w:rFonts w:cs="Segoe UI"/>
                      <w:noProof/>
                      <w:vanish/>
                      <w:color w:val="64964B"/>
                      <w:sz w:val="16"/>
                    </w:rPr>
                  </w:pPr>
                  <w:r w:rsidRPr="00933B76">
                    <w:rPr>
                      <w:rFonts w:cs="Segoe UI"/>
                      <w:noProof/>
                      <w:vanish/>
                      <w:color w:val="64964B"/>
                      <w:sz w:val="16"/>
                    </w:rPr>
                    <w:t>DO NOT DELETE THIS LINE!</w:t>
                  </w:r>
                </w:p>
                <w:p w14:paraId="09B9C4EF" w14:textId="77777777" w:rsidR="001F65C8" w:rsidRPr="00933B76" w:rsidRDefault="001F65C8" w:rsidP="00503EC4">
                  <w:pPr>
                    <w:framePr w:hSpace="180" w:vSpace="120" w:wrap="around" w:vAnchor="text" w:hAnchor="text" w:xAlign="right" w:y="121"/>
                    <w:spacing w:after="120"/>
                    <w:suppressOverlap/>
                    <w:rPr>
                      <w:rFonts w:cs="Segoe UI"/>
                      <w:noProof/>
                      <w:vanish/>
                      <w:color w:val="64964B"/>
                      <w:sz w:val="16"/>
                    </w:rPr>
                  </w:pPr>
                </w:p>
                <w:p w14:paraId="36C4C03E" w14:textId="77777777" w:rsidR="001F65C8" w:rsidRPr="00933B76" w:rsidRDefault="001F65C8" w:rsidP="00503EC4">
                  <w:pPr>
                    <w:framePr w:hSpace="180" w:vSpace="120" w:wrap="around" w:vAnchor="text" w:hAnchor="text" w:xAlign="right" w:y="121"/>
                    <w:spacing w:after="120"/>
                    <w:suppressOverlap/>
                    <w:rPr>
                      <w:rFonts w:cs="Segoe UI"/>
                      <w:noProof/>
                      <w:vanish/>
                      <w:color w:val="64964B"/>
                      <w:sz w:val="16"/>
                    </w:rPr>
                  </w:pPr>
                  <w:r w:rsidRPr="00933B76">
                    <w:rPr>
                      <w:rFonts w:cs="Segoe UI"/>
                      <w:noProof/>
                      <w:vanish/>
                      <w:color w:val="64964B"/>
                      <w:sz w:val="16"/>
                    </w:rPr>
                    <w:t>Styles:</w:t>
                  </w:r>
                </w:p>
                <w:p w14:paraId="350FE5F0" w14:textId="77777777" w:rsidR="001F65C8" w:rsidRPr="00933B76" w:rsidRDefault="001F65C8" w:rsidP="00503EC4">
                  <w:pPr>
                    <w:keepNext/>
                    <w:framePr w:hSpace="180" w:vSpace="120" w:wrap="around" w:vAnchor="text" w:hAnchor="text" w:xAlign="right" w:y="121"/>
                    <w:spacing w:before="60" w:after="120"/>
                    <w:suppressOverlap/>
                    <w:jc w:val="both"/>
                    <w:rPr>
                      <w:rFonts w:cs="Segoe UI"/>
                      <w:sz w:val="15"/>
                      <w:u w:val="single" w:color="929993"/>
                    </w:rPr>
                  </w:pPr>
                  <w:r w:rsidRPr="00933B76">
                    <w:rPr>
                      <w:rFonts w:cs="Segoe UI"/>
                      <w:sz w:val="15"/>
                      <w:u w:val="single" w:color="929993"/>
                    </w:rPr>
                    <w:t>Hyperlink BIS</w:t>
                  </w:r>
                </w:p>
                <w:p w14:paraId="3DF4F2BE" w14:textId="77777777" w:rsidR="001F65C8" w:rsidRPr="00933B76" w:rsidRDefault="001F65C8" w:rsidP="00503EC4">
                  <w:pPr>
                    <w:framePr w:hSpace="180" w:vSpace="120" w:wrap="around" w:vAnchor="text" w:hAnchor="text" w:xAlign="right" w:y="121"/>
                    <w:spacing w:after="120"/>
                    <w:suppressOverlap/>
                    <w:rPr>
                      <w:rFonts w:cs="Segoe UI"/>
                      <w:noProof/>
                      <w:vanish/>
                      <w:color w:val="64964B"/>
                      <w:sz w:val="16"/>
                    </w:rPr>
                  </w:pPr>
                </w:p>
              </w:tc>
            </w:tr>
            <w:tr w:rsidR="001F65C8" w:rsidRPr="00933B76" w14:paraId="6D630801" w14:textId="77777777" w:rsidTr="00D21A18">
              <w:tblPrEx>
                <w:tblBorders>
                  <w:left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7941" w:type="dxa"/>
                  <w:gridSpan w:val="3"/>
                  <w:tcBorders>
                    <w:top w:val="single" w:sz="4" w:space="0" w:color="auto"/>
                    <w:bottom w:val="single" w:sz="4" w:space="0" w:color="auto"/>
                  </w:tcBorders>
                </w:tcPr>
                <w:p w14:paraId="23CEEDAD" w14:textId="77777777" w:rsidR="001F65C8" w:rsidRPr="00933B76" w:rsidRDefault="001F65C8" w:rsidP="00503EC4">
                  <w:pPr>
                    <w:keepNext/>
                    <w:framePr w:hSpace="180" w:vSpace="120" w:wrap="around" w:vAnchor="text" w:hAnchor="text" w:xAlign="right" w:y="121"/>
                    <w:spacing w:before="120" w:after="120"/>
                    <w:suppressOverlap/>
                    <w:rPr>
                      <w:sz w:val="22"/>
                    </w:rPr>
                  </w:pPr>
                  <w:r w:rsidRPr="00933B76">
                    <w:rPr>
                      <w:sz w:val="22"/>
                    </w:rPr>
                    <w:t>Cyber risk in the financial sector</w:t>
                  </w:r>
                  <w:r>
                    <w:rPr>
                      <w:sz w:val="22"/>
                    </w:rPr>
                    <w:t xml:space="preserve"> </w:t>
                  </w:r>
                  <w:r w:rsidRPr="00933B76">
                    <w:rPr>
                      <w:sz w:val="22"/>
                    </w:rPr>
                    <w:t xml:space="preserve">small </w:t>
                  </w:r>
                  <w:r>
                    <w:rPr>
                      <w:sz w:val="22"/>
                    </w:rPr>
                    <w:t xml:space="preserve">but growing </w:t>
                  </w:r>
                  <w:r w:rsidRPr="00933B76">
                    <w:rPr>
                      <w:sz w:val="22"/>
                    </w:rPr>
                    <w:t>relative to op</w:t>
                  </w:r>
                  <w:r w:rsidR="00802032">
                    <w:rPr>
                      <w:sz w:val="22"/>
                    </w:rPr>
                    <w:t xml:space="preserve">erational </w:t>
                  </w:r>
                  <w:r w:rsidRPr="00933B76">
                    <w:rPr>
                      <w:sz w:val="22"/>
                    </w:rPr>
                    <w:t>risk</w:t>
                  </w:r>
                </w:p>
              </w:tc>
              <w:tc>
                <w:tcPr>
                  <w:tcW w:w="1306" w:type="dxa"/>
                  <w:tcBorders>
                    <w:top w:val="single" w:sz="4" w:space="0" w:color="auto"/>
                    <w:bottom w:val="single" w:sz="4" w:space="0" w:color="auto"/>
                  </w:tcBorders>
                  <w:vAlign w:val="bottom"/>
                </w:tcPr>
                <w:p w14:paraId="5480D472" w14:textId="77777777" w:rsidR="001F65C8" w:rsidRPr="00933B76" w:rsidRDefault="001F65C8" w:rsidP="00503EC4">
                  <w:pPr>
                    <w:keepNext/>
                    <w:framePr w:hSpace="180" w:vSpace="120" w:wrap="around" w:vAnchor="text" w:hAnchor="text" w:xAlign="right" w:y="121"/>
                    <w:spacing w:after="120"/>
                    <w:suppressOverlap/>
                    <w:jc w:val="right"/>
                    <w:rPr>
                      <w:sz w:val="18"/>
                    </w:rPr>
                  </w:pPr>
                  <w:r w:rsidRPr="00933B76">
                    <w:rPr>
                      <w:sz w:val="18"/>
                    </w:rPr>
                    <w:t>Graph B1</w:t>
                  </w:r>
                </w:p>
              </w:tc>
            </w:tr>
            <w:tr w:rsidR="001F65C8" w:rsidRPr="00933B76" w14:paraId="78EB80DD" w14:textId="77777777" w:rsidTr="00D21A18">
              <w:tblPrEx>
                <w:tblBorders>
                  <w:left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4539" w:type="dxa"/>
                  <w:tcBorders>
                    <w:top w:val="single" w:sz="4" w:space="0" w:color="auto"/>
                  </w:tcBorders>
                </w:tcPr>
                <w:p w14:paraId="0B371277" w14:textId="77777777" w:rsidR="001F65C8" w:rsidRPr="00933B76" w:rsidRDefault="001F65C8" w:rsidP="00503EC4">
                  <w:pPr>
                    <w:keepNext/>
                    <w:framePr w:hSpace="180" w:vSpace="120" w:wrap="around" w:vAnchor="text" w:hAnchor="text" w:xAlign="right" w:y="121"/>
                    <w:spacing w:before="100" w:after="40" w:line="200" w:lineRule="exact"/>
                    <w:suppressOverlap/>
                    <w:rPr>
                      <w:sz w:val="18"/>
                    </w:rPr>
                  </w:pPr>
                  <w:r w:rsidRPr="00933B76">
                    <w:rPr>
                      <w:sz w:val="18"/>
                    </w:rPr>
                    <w:t>Frequency of cyber incidents</w:t>
                  </w:r>
                </w:p>
              </w:tc>
              <w:tc>
                <w:tcPr>
                  <w:tcW w:w="170" w:type="dxa"/>
                  <w:tcBorders>
                    <w:top w:val="single" w:sz="4" w:space="0" w:color="auto"/>
                  </w:tcBorders>
                </w:tcPr>
                <w:p w14:paraId="5ACC1BB2" w14:textId="77777777" w:rsidR="001F65C8" w:rsidRPr="00933B76" w:rsidRDefault="001F65C8" w:rsidP="00503EC4">
                  <w:pPr>
                    <w:keepNext/>
                    <w:framePr w:hSpace="180" w:vSpace="120" w:wrap="around" w:vAnchor="text" w:hAnchor="text" w:xAlign="right" w:y="121"/>
                    <w:spacing w:before="100" w:after="40" w:line="200" w:lineRule="exact"/>
                    <w:suppressOverlap/>
                    <w:rPr>
                      <w:sz w:val="18"/>
                    </w:rPr>
                  </w:pPr>
                </w:p>
              </w:tc>
              <w:tc>
                <w:tcPr>
                  <w:tcW w:w="4538" w:type="dxa"/>
                  <w:gridSpan w:val="2"/>
                  <w:tcBorders>
                    <w:top w:val="single" w:sz="4" w:space="0" w:color="auto"/>
                  </w:tcBorders>
                </w:tcPr>
                <w:p w14:paraId="634F6BE8" w14:textId="77777777" w:rsidR="001F65C8" w:rsidRPr="00933B76" w:rsidRDefault="001F65C8" w:rsidP="00503EC4">
                  <w:pPr>
                    <w:keepNext/>
                    <w:framePr w:hSpace="180" w:vSpace="120" w:wrap="around" w:vAnchor="text" w:hAnchor="text" w:xAlign="right" w:y="121"/>
                    <w:spacing w:before="100" w:after="40" w:line="200" w:lineRule="exact"/>
                    <w:suppressOverlap/>
                    <w:rPr>
                      <w:sz w:val="18"/>
                    </w:rPr>
                  </w:pPr>
                  <w:r w:rsidRPr="00933B76">
                    <w:rPr>
                      <w:sz w:val="18"/>
                    </w:rPr>
                    <w:t>Operational and cyber value-at-risk</w:t>
                  </w:r>
                  <w:r w:rsidRPr="00933B76">
                    <w:rPr>
                      <w:sz w:val="18"/>
                      <w:vertAlign w:val="superscript"/>
                    </w:rPr>
                    <w:t>2</w:t>
                  </w:r>
                </w:p>
              </w:tc>
            </w:tr>
            <w:tr w:rsidR="001F65C8" w:rsidRPr="00933B76" w14:paraId="7EB9DE53" w14:textId="77777777" w:rsidTr="00D21A18">
              <w:tblPrEx>
                <w:tblBorders>
                  <w:left w:val="none" w:sz="0" w:space="0" w:color="auto"/>
                  <w:right w:val="none" w:sz="0" w:space="0" w:color="auto"/>
                  <w:insideH w:val="none" w:sz="0" w:space="0" w:color="auto"/>
                  <w:insideV w:val="none" w:sz="0" w:space="0" w:color="auto"/>
                </w:tblBorders>
                <w:tblCellMar>
                  <w:left w:w="0" w:type="dxa"/>
                  <w:right w:w="0" w:type="dxa"/>
                </w:tblCellMar>
              </w:tblPrEx>
              <w:trPr>
                <w:cantSplit/>
                <w:trHeight w:val="113"/>
              </w:trPr>
              <w:tc>
                <w:tcPr>
                  <w:tcW w:w="4539" w:type="dxa"/>
                </w:tcPr>
                <w:p w14:paraId="7DBB9977" w14:textId="77777777" w:rsidR="001F65C8" w:rsidRPr="00933B76" w:rsidRDefault="001F65C8" w:rsidP="00503EC4">
                  <w:pPr>
                    <w:keepNext/>
                    <w:framePr w:hSpace="180" w:vSpace="120" w:wrap="around" w:vAnchor="text" w:hAnchor="text" w:xAlign="right" w:y="121"/>
                    <w:tabs>
                      <w:tab w:val="right" w:pos="4511"/>
                    </w:tabs>
                    <w:ind w:right="28"/>
                    <w:suppressOverlap/>
                    <w:rPr>
                      <w:color w:val="706F6F"/>
                      <w:sz w:val="15"/>
                    </w:rPr>
                  </w:pPr>
                  <w:r w:rsidRPr="00933B76">
                    <w:rPr>
                      <w:color w:val="706F6F"/>
                      <w:sz w:val="15"/>
                    </w:rPr>
                    <w:t xml:space="preserve"># per </w:t>
                  </w:r>
                  <w:proofErr w:type="spellStart"/>
                  <w:r w:rsidRPr="00933B76">
                    <w:rPr>
                      <w:color w:val="706F6F"/>
                      <w:sz w:val="15"/>
                    </w:rPr>
                    <w:t>bn</w:t>
                  </w:r>
                  <w:proofErr w:type="spellEnd"/>
                  <w:r w:rsidRPr="00933B76">
                    <w:rPr>
                      <w:color w:val="706F6F"/>
                      <w:sz w:val="15"/>
                    </w:rPr>
                    <w:t xml:space="preserve"> EUR income</w:t>
                  </w:r>
                  <w:r w:rsidRPr="00933B76">
                    <w:rPr>
                      <w:color w:val="706F6F"/>
                      <w:sz w:val="15"/>
                    </w:rPr>
                    <w:tab/>
                    <w:t>Per cent of op. losses</w:t>
                  </w:r>
                </w:p>
              </w:tc>
              <w:tc>
                <w:tcPr>
                  <w:tcW w:w="170" w:type="dxa"/>
                </w:tcPr>
                <w:p w14:paraId="20FB5BC0" w14:textId="77777777" w:rsidR="001F65C8" w:rsidRPr="00933B76" w:rsidRDefault="001F65C8" w:rsidP="00503EC4">
                  <w:pPr>
                    <w:keepNext/>
                    <w:framePr w:hSpace="180" w:vSpace="120" w:wrap="around" w:vAnchor="text" w:hAnchor="text" w:xAlign="right" w:y="121"/>
                    <w:suppressOverlap/>
                    <w:rPr>
                      <w:rFonts w:eastAsia="Calibri"/>
                      <w:sz w:val="12"/>
                      <w:szCs w:val="22"/>
                    </w:rPr>
                  </w:pPr>
                </w:p>
              </w:tc>
              <w:tc>
                <w:tcPr>
                  <w:tcW w:w="4538" w:type="dxa"/>
                  <w:gridSpan w:val="2"/>
                </w:tcPr>
                <w:p w14:paraId="65FB8F6B" w14:textId="77777777" w:rsidR="001F65C8" w:rsidRPr="00933B76" w:rsidRDefault="001F65C8" w:rsidP="00503EC4">
                  <w:pPr>
                    <w:keepNext/>
                    <w:framePr w:hSpace="180" w:vSpace="120" w:wrap="around" w:vAnchor="text" w:hAnchor="text" w:xAlign="right" w:y="121"/>
                    <w:ind w:right="28"/>
                    <w:suppressOverlap/>
                    <w:jc w:val="right"/>
                    <w:rPr>
                      <w:color w:val="706F6F"/>
                      <w:sz w:val="15"/>
                    </w:rPr>
                  </w:pPr>
                  <w:r w:rsidRPr="00933B76">
                    <w:rPr>
                      <w:color w:val="706F6F"/>
                      <w:sz w:val="15"/>
                    </w:rPr>
                    <w:t>Per cent of 2017 income</w:t>
                  </w:r>
                </w:p>
              </w:tc>
            </w:tr>
            <w:tr w:rsidR="001F65C8" w:rsidRPr="00933B76" w14:paraId="654F2B9B" w14:textId="77777777" w:rsidTr="00D21A18">
              <w:tblPrEx>
                <w:tblBorders>
                  <w:left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4539" w:type="dxa"/>
                </w:tcPr>
                <w:p w14:paraId="3B9309EB" w14:textId="77777777" w:rsidR="001F65C8" w:rsidRPr="00933B76" w:rsidRDefault="001F65C8" w:rsidP="00503EC4">
                  <w:pPr>
                    <w:keepNext/>
                    <w:framePr w:hSpace="180" w:vSpace="120" w:wrap="around" w:vAnchor="text" w:hAnchor="text" w:xAlign="right" w:y="121"/>
                    <w:ind w:left="-11"/>
                    <w:suppressOverlap/>
                    <w:rPr>
                      <w:rFonts w:eastAsia="Calibri"/>
                      <w:szCs w:val="22"/>
                    </w:rPr>
                  </w:pPr>
                  <w:r w:rsidRPr="00933B76">
                    <w:rPr>
                      <w:rFonts w:eastAsia="Calibri"/>
                      <w:noProof/>
                      <w:szCs w:val="22"/>
                      <w:lang w:eastAsia="en-GB"/>
                    </w:rPr>
                    <w:drawing>
                      <wp:inline distT="0" distB="0" distL="0" distR="0" wp14:anchorId="04F7FD2B" wp14:editId="38B80DCC">
                        <wp:extent cx="2880000" cy="2106079"/>
                        <wp:effectExtent l="0" t="0" r="0" b="8890"/>
                        <wp:docPr id="26" name="Picture 26" descr="&lt;?xml version=&quot;1.0&quot; encoding=&quot;utf-8&quot;?&gt; &#10;&lt;XMLInfo&gt; &#10;&lt;DocFullFileName&gt;L:\DRS\Products\Bimonthly_Meetings\Notes_AllGovernors\2020_09\graphs_allGov_sep20.docx&lt;/DocFullFileName&gt;&#10;&lt;EPSFullFileName&gt;L:\DRS\Products\Bimonthly_Meetings\Notes_AllGovernors\2020_09\graphs\g_boxB_clp.MEDCS.eps&lt;/EPSFullFileName&gt;&#10;&lt;EPSRelativeFileName&gt;graphs\g_boxB_clp.MEDCS.eps&lt;/EPSRelativeFileName&gt;&#10;&lt;EPSCreated&gt;20200807 16:49:10&lt;/EPSCreated&gt;&#10;&lt;EPSInsertedBy&gt;gi004099&lt;/EPSInsertedBy&gt;&#10;&lt;EPSInsertedDate&gt;20200807 16:52:23&lt;/EPSInsertedDate&gt;&#10;&lt;EPSModifiedDate&gt;20200812 16:37:29&lt;/EPSModifiedDate&gt;&#10;&lt;EPSUpdatedInDoc&gt;20200812 16:37:34&lt;/EPSUpdatedInDoc&gt;&#10;&lt;EPSModifiedBy&gt;gi004099&lt;/EPSModifiedBy&gt;&#10;&lt;XMLInfoVersionID&gt;2.0.0.0&lt;/XMLInfoVersionID&gt; &#10;&lt;EPSGUID&gt;{86f9e5b4-16e0-4120-8f87-556d5232354c}&lt;/EPSGUID&gt;&#10;&lt;/XMLInfo&gt; &#10;" title="g_boxB_c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06079"/>
                                </a:xfrm>
                                <a:prstGeom prst="rect">
                                  <a:avLst/>
                                </a:prstGeom>
                              </pic:spPr>
                            </pic:pic>
                          </a:graphicData>
                        </a:graphic>
                      </wp:inline>
                    </w:drawing>
                  </w:r>
                </w:p>
              </w:tc>
              <w:tc>
                <w:tcPr>
                  <w:tcW w:w="170" w:type="dxa"/>
                </w:tcPr>
                <w:p w14:paraId="12F04847" w14:textId="77777777" w:rsidR="001F65C8" w:rsidRPr="00933B76" w:rsidRDefault="001F65C8" w:rsidP="00503EC4">
                  <w:pPr>
                    <w:keepNext/>
                    <w:framePr w:hSpace="180" w:vSpace="120" w:wrap="around" w:vAnchor="text" w:hAnchor="text" w:xAlign="right" w:y="121"/>
                    <w:suppressOverlap/>
                    <w:rPr>
                      <w:rFonts w:eastAsia="Calibri"/>
                      <w:szCs w:val="22"/>
                    </w:rPr>
                  </w:pPr>
                </w:p>
              </w:tc>
              <w:tc>
                <w:tcPr>
                  <w:tcW w:w="4538" w:type="dxa"/>
                  <w:gridSpan w:val="2"/>
                </w:tcPr>
                <w:p w14:paraId="27117F58" w14:textId="77777777" w:rsidR="001F65C8" w:rsidRPr="00933B76" w:rsidRDefault="001F65C8" w:rsidP="00503EC4">
                  <w:pPr>
                    <w:keepNext/>
                    <w:framePr w:hSpace="180" w:vSpace="120" w:wrap="around" w:vAnchor="text" w:hAnchor="text" w:xAlign="right" w:y="121"/>
                    <w:suppressOverlap/>
                    <w:rPr>
                      <w:rFonts w:eastAsia="Calibri"/>
                      <w:szCs w:val="22"/>
                    </w:rPr>
                  </w:pPr>
                  <w:r w:rsidRPr="00933B76">
                    <w:rPr>
                      <w:rFonts w:eastAsia="Calibri"/>
                      <w:noProof/>
                      <w:szCs w:val="22"/>
                      <w:lang w:eastAsia="en-GB"/>
                    </w:rPr>
                    <w:drawing>
                      <wp:inline distT="0" distB="0" distL="0" distR="0" wp14:anchorId="07F62746" wp14:editId="094D6BF2">
                        <wp:extent cx="2880000" cy="2106079"/>
                        <wp:effectExtent l="0" t="0" r="0" b="8890"/>
                        <wp:docPr id="27" name="Picture 27" descr="&lt;?xml version=&quot;1.0&quot; encoding=&quot;utf-8&quot;?&gt; &#10;&lt;XMLInfo&gt; &#10;&lt;DocFullFileName&gt;L:\DRS\Products\Bimonthly_Meetings\Notes_AllGovernors\2020_09\graphs_allGov_sep20.docx&lt;/DocFullFileName&gt;&#10;&lt;EPSFullFileName&gt;L:\DRS\Products\Bimonthly_Meetings\Notes_AllGovernors\2020_03\graphs\g_boxB_rhp.MEDCS.eps&lt;/EPSFullFileName&gt;&#10;&lt;EPSRelativeFileName&gt;..\2020_03\graphs\g_boxB_rhp.MEDCS.eps&lt;/EPSRelativeFileName&gt;&#10;&lt;EPSCreated&gt;20200129 18:10:07&lt;/EPSCreated&gt;&#10;&lt;EPSInsertedBy&gt;gi004099&lt;/EPSInsertedBy&gt;&#10;&lt;EPSInsertedDate&gt;20200129 18:10:17&lt;/EPSInsertedDate&gt;&#10;&lt;EPSModifiedDate&gt;20200812 16:38:07&lt;/EPSModifiedDate&gt;&#10;&lt;EPSUpdatedInDoc&gt;20200812 16:38:10&lt;/EPSUpdatedInDoc&gt;&#10;&lt;EPSModifiedBy&gt;gi004099&lt;/EPSModifiedBy&gt;&#10;&lt;XMLInfoVersionID&gt;2.0.0.0&lt;/XMLInfoVersionID&gt; &#10;&lt;EPSGUID&gt;{9e2126c7-839b-4416-b161-155d0f58f461}&lt;/EPSGUID&gt;&#10;&lt;/XMLInfo&gt; &#10;" title="g_boxB_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06079"/>
                                </a:xfrm>
                                <a:prstGeom prst="rect">
                                  <a:avLst/>
                                </a:prstGeom>
                              </pic:spPr>
                            </pic:pic>
                          </a:graphicData>
                        </a:graphic>
                      </wp:inline>
                    </w:drawing>
                  </w:r>
                </w:p>
              </w:tc>
            </w:tr>
            <w:tr w:rsidR="001F65C8" w:rsidRPr="00503EC4" w14:paraId="1992D067" w14:textId="77777777" w:rsidTr="00D21A18">
              <w:tblPrEx>
                <w:tblBorders>
                  <w:left w:val="none" w:sz="0" w:space="0" w:color="auto"/>
                  <w:bottom w:val="none" w:sz="0" w:space="0" w:color="auto"/>
                  <w:right w:val="none" w:sz="0" w:space="0" w:color="auto"/>
                </w:tblBorders>
                <w:tblCellMar>
                  <w:left w:w="0" w:type="dxa"/>
                  <w:right w:w="0" w:type="dxa"/>
                </w:tblCellMar>
              </w:tblPrEx>
              <w:trPr>
                <w:cantSplit/>
              </w:trPr>
              <w:tc>
                <w:tcPr>
                  <w:tcW w:w="9247" w:type="dxa"/>
                  <w:gridSpan w:val="4"/>
                  <w:tcBorders>
                    <w:top w:val="nil"/>
                    <w:bottom w:val="single" w:sz="4" w:space="0" w:color="auto"/>
                  </w:tcBorders>
                </w:tcPr>
                <w:p w14:paraId="2948D4F1" w14:textId="77777777" w:rsidR="001F65C8" w:rsidRDefault="001F65C8" w:rsidP="00503EC4">
                  <w:pPr>
                    <w:framePr w:hSpace="180" w:vSpace="120" w:wrap="around" w:vAnchor="text" w:hAnchor="text" w:xAlign="right" w:y="121"/>
                    <w:spacing w:before="60" w:after="120"/>
                    <w:suppressOverlap/>
                    <w:jc w:val="both"/>
                    <w:rPr>
                      <w:sz w:val="15"/>
                    </w:rPr>
                  </w:pPr>
                  <w:r w:rsidRPr="00933B76">
                    <w:rPr>
                      <w:sz w:val="15"/>
                      <w:vertAlign w:val="superscript"/>
                    </w:rPr>
                    <w:t>1</w:t>
                  </w:r>
                  <w:proofErr w:type="gramStart"/>
                  <w:r w:rsidRPr="00933B76">
                    <w:rPr>
                      <w:sz w:val="15"/>
                    </w:rPr>
                    <w:t>  Min</w:t>
                  </w:r>
                  <w:proofErr w:type="gramEnd"/>
                  <w:r w:rsidRPr="00933B76">
                    <w:rPr>
                      <w:sz w:val="15"/>
                    </w:rPr>
                    <w:t xml:space="preserve">-max range as a percentage of total operational risk. The range is obtained from the level 2 classification of operational risk events under the Basel Framework, </w:t>
                  </w:r>
                  <w:hyperlink r:id="rId22" w:history="1">
                    <w:r w:rsidRPr="00933B76">
                      <w:rPr>
                        <w:rFonts w:cs="Segoe UI"/>
                        <w:sz w:val="15"/>
                        <w:u w:val="single" w:color="929993"/>
                      </w:rPr>
                      <w:t>www.bis.org/basel_framework/chapter/OPE/30.htm?inforce=20191215</w:t>
                    </w:r>
                  </w:hyperlink>
                  <w:r w:rsidRPr="00933B76">
                    <w:rPr>
                      <w:sz w:val="15"/>
                    </w:rPr>
                    <w:t xml:space="preserve">. The minimum includes the categories ET0103 (Intentional damage to systems by internal staff), ET0202 (Wilful damage, </w:t>
                  </w:r>
                  <w:proofErr w:type="spellStart"/>
                  <w:r w:rsidRPr="00933B76">
                    <w:rPr>
                      <w:sz w:val="15"/>
                    </w:rPr>
                    <w:t>eg</w:t>
                  </w:r>
                  <w:proofErr w:type="spellEnd"/>
                  <w:r w:rsidRPr="00933B76">
                    <w:rPr>
                      <w:sz w:val="15"/>
                    </w:rPr>
                    <w:t xml:space="preserve"> hacking, software/hardware, theft of data) and ET0601 (Technology &amp; infrastructure failures). The maximum estimate adds ET0101 (Internal fraud – Unauthorised activity), ET0102 (Internal theft &amp; fraud) and ET0201 (External theft &amp; fraud).    </w:t>
                  </w:r>
                  <w:r w:rsidRPr="00933B76">
                    <w:rPr>
                      <w:sz w:val="15"/>
                      <w:vertAlign w:val="superscript"/>
                    </w:rPr>
                    <w:t>2</w:t>
                  </w:r>
                  <w:proofErr w:type="gramStart"/>
                  <w:r w:rsidRPr="00933B76">
                    <w:rPr>
                      <w:sz w:val="15"/>
                    </w:rPr>
                    <w:t>  Losses</w:t>
                  </w:r>
                  <w:proofErr w:type="gramEnd"/>
                  <w:r w:rsidRPr="00933B76">
                    <w:rPr>
                      <w:sz w:val="15"/>
                    </w:rPr>
                    <w:t xml:space="preserve"> </w:t>
                  </w:r>
                  <w:r>
                    <w:rPr>
                      <w:sz w:val="15"/>
                    </w:rPr>
                    <w:t>are extrapolated from the tail (</w:t>
                  </w:r>
                  <w:r w:rsidRPr="00933B76">
                    <w:rPr>
                      <w:sz w:val="15"/>
                    </w:rPr>
                    <w:t>99.9th percentile of the distribution</w:t>
                  </w:r>
                  <w:r>
                    <w:rPr>
                      <w:sz w:val="15"/>
                    </w:rPr>
                    <w:t>) based on the parameters of an assumed probability distribution</w:t>
                  </w:r>
                  <w:r w:rsidRPr="00933B76">
                    <w:rPr>
                      <w:sz w:val="15"/>
                    </w:rPr>
                    <w:t xml:space="preserve"> over one year. The analytical approach is based on the internal measurement of losses and allows the </w:t>
                  </w:r>
                  <w:proofErr w:type="spellStart"/>
                  <w:r w:rsidRPr="00933B76">
                    <w:rPr>
                      <w:sz w:val="15"/>
                    </w:rPr>
                    <w:t>VaR</w:t>
                  </w:r>
                  <w:proofErr w:type="spellEnd"/>
                  <w:r w:rsidRPr="00933B76">
                    <w:rPr>
                      <w:sz w:val="15"/>
                    </w:rPr>
                    <w:t xml:space="preserve"> to be derived analytically. The loss distribution approach takes better account of the fat-tailed nature of operational loss data, and is estimated with Bayesian techniques.</w:t>
                  </w:r>
                </w:p>
                <w:p w14:paraId="6A1DF026" w14:textId="77777777" w:rsidR="00800AAD" w:rsidRPr="00800AAD" w:rsidRDefault="00800AAD" w:rsidP="00503EC4">
                  <w:pPr>
                    <w:framePr w:hSpace="180" w:vSpace="120" w:wrap="around" w:vAnchor="text" w:hAnchor="text" w:xAlign="right" w:y="121"/>
                    <w:spacing w:before="60" w:after="120"/>
                    <w:suppressOverlap/>
                    <w:jc w:val="both"/>
                    <w:rPr>
                      <w:sz w:val="15"/>
                      <w:lang w:val="fr-CH"/>
                    </w:rPr>
                  </w:pPr>
                  <w:r w:rsidRPr="00E73085">
                    <w:rPr>
                      <w:sz w:val="15"/>
                      <w:lang w:val="fr-CH"/>
                    </w:rPr>
                    <w:t xml:space="preserve">Sources: Aldasoro </w:t>
                  </w:r>
                  <w:r>
                    <w:rPr>
                      <w:sz w:val="15"/>
                      <w:lang w:val="fr-CH"/>
                    </w:rPr>
                    <w:t>et al.</w:t>
                  </w:r>
                  <w:r w:rsidRPr="00E73085">
                    <w:rPr>
                      <w:sz w:val="15"/>
                      <w:lang w:val="fr-CH"/>
                    </w:rPr>
                    <w:t xml:space="preserve"> (2020</w:t>
                  </w:r>
                  <w:r>
                    <w:rPr>
                      <w:sz w:val="15"/>
                      <w:lang w:val="fr-CH"/>
                    </w:rPr>
                    <w:t>a</w:t>
                  </w:r>
                  <w:r w:rsidRPr="00E73085">
                    <w:rPr>
                      <w:sz w:val="15"/>
                      <w:lang w:val="fr-CH"/>
                    </w:rPr>
                    <w:t xml:space="preserve">); </w:t>
                  </w:r>
                  <w:r>
                    <w:rPr>
                      <w:sz w:val="15"/>
                      <w:lang w:val="fr-CH"/>
                    </w:rPr>
                    <w:t>ORX</w:t>
                  </w:r>
                  <w:r w:rsidRPr="00E73085">
                    <w:rPr>
                      <w:sz w:val="15"/>
                      <w:lang w:val="fr-CH"/>
                    </w:rPr>
                    <w:t>.</w:t>
                  </w:r>
                </w:p>
              </w:tc>
            </w:tr>
          </w:tbl>
          <w:p w14:paraId="3051B6CB" w14:textId="77777777" w:rsidR="001F65C8" w:rsidRPr="00800AAD" w:rsidRDefault="001F65C8" w:rsidP="00D21A18">
            <w:pPr>
              <w:rPr>
                <w:lang w:val="fr-CH"/>
              </w:rPr>
            </w:pPr>
          </w:p>
        </w:tc>
      </w:tr>
    </w:tbl>
    <w:p w14:paraId="5C7B12A1" w14:textId="77777777" w:rsidR="00B54E33" w:rsidRPr="00503EC4" w:rsidRDefault="00B54E33" w:rsidP="001908F9">
      <w:pPr>
        <w:spacing w:after="160" w:line="259" w:lineRule="auto"/>
        <w:jc w:val="both"/>
        <w:rPr>
          <w:lang w:val="fr-CH"/>
        </w:rPr>
      </w:pPr>
    </w:p>
    <w:p w14:paraId="6F3595FD" w14:textId="6D687C72" w:rsidR="00E5422C" w:rsidRDefault="00E5422C" w:rsidP="001908F9">
      <w:pPr>
        <w:spacing w:after="160" w:line="259" w:lineRule="auto"/>
        <w:jc w:val="both"/>
      </w:pPr>
      <w:r w:rsidRPr="006E2517">
        <w:t xml:space="preserve">A second angle </w:t>
      </w:r>
      <w:r>
        <w:t>focuses on</w:t>
      </w:r>
      <w:r w:rsidRPr="006E2517">
        <w:t xml:space="preserve"> </w:t>
      </w:r>
      <w:r w:rsidRPr="006E2517">
        <w:rPr>
          <w:b/>
        </w:rPr>
        <w:t>transmission channels</w:t>
      </w:r>
      <w:r w:rsidRPr="006E2517">
        <w:t xml:space="preserve">. These include </w:t>
      </w:r>
      <w:proofErr w:type="spellStart"/>
      <w:r w:rsidRPr="006E2517">
        <w:t>spillovers</w:t>
      </w:r>
      <w:proofErr w:type="spellEnd"/>
      <w:r w:rsidRPr="006E2517">
        <w:t xml:space="preserve"> through the payments system. For example, </w:t>
      </w:r>
      <w:proofErr w:type="spellStart"/>
      <w:r w:rsidR="003F280D" w:rsidRPr="006E2517">
        <w:t>Eisenbach</w:t>
      </w:r>
      <w:proofErr w:type="spellEnd"/>
      <w:r w:rsidR="003F280D">
        <w:t xml:space="preserve"> </w:t>
      </w:r>
      <w:r w:rsidR="00ED6B6D">
        <w:t>et al.</w:t>
      </w:r>
      <w:r w:rsidR="003F280D">
        <w:t xml:space="preserve"> (2019)</w:t>
      </w:r>
      <w:r w:rsidRPr="006E2517">
        <w:t xml:space="preserve"> find</w:t>
      </w:r>
      <w:r w:rsidR="003F280D">
        <w:t>s</w:t>
      </w:r>
      <w:r w:rsidRPr="006E2517">
        <w:t xml:space="preserve"> that, if any of the five most active US banks were impaired</w:t>
      </w:r>
      <w:r>
        <w:t xml:space="preserve"> for a full day</w:t>
      </w:r>
      <w:r w:rsidRPr="006E2517">
        <w:t xml:space="preserve">, this could affect 38% of the banking </w:t>
      </w:r>
      <w:r w:rsidRPr="006E2517">
        <w:lastRenderedPageBreak/>
        <w:t xml:space="preserve">network and cost more than </w:t>
      </w:r>
      <w:r w:rsidR="00194F76">
        <w:t>USD 210 b</w:t>
      </w:r>
      <w:r w:rsidR="00FB04F1">
        <w:t>illion</w:t>
      </w:r>
      <w:r w:rsidR="00194F76" w:rsidRPr="006E2517">
        <w:t xml:space="preserve"> </w:t>
      </w:r>
      <w:r w:rsidR="00194F76">
        <w:t>(</w:t>
      </w:r>
      <w:r w:rsidRPr="006E2517">
        <w:t>2.5 times daily GDP</w:t>
      </w:r>
      <w:r>
        <w:t>) in foregone payment activity</w:t>
      </w:r>
      <w:r w:rsidRPr="006E2517">
        <w:t>.</w:t>
      </w:r>
      <w:r w:rsidRPr="006E2517">
        <w:rPr>
          <w:rStyle w:val="FootnoteReference"/>
        </w:rPr>
        <w:footnoteReference w:id="13"/>
      </w:r>
      <w:r w:rsidRPr="006E2517">
        <w:t xml:space="preserve">  Another study </w:t>
      </w:r>
      <w:r w:rsidR="00063CB5">
        <w:t xml:space="preserve">by </w:t>
      </w:r>
      <w:proofErr w:type="spellStart"/>
      <w:r w:rsidR="00063CB5" w:rsidRPr="006E2517">
        <w:rPr>
          <w:szCs w:val="16"/>
        </w:rPr>
        <w:t>Duffie</w:t>
      </w:r>
      <w:proofErr w:type="spellEnd"/>
      <w:r w:rsidR="00063CB5" w:rsidRPr="006E2517">
        <w:rPr>
          <w:szCs w:val="16"/>
        </w:rPr>
        <w:t xml:space="preserve"> and Younger</w:t>
      </w:r>
      <w:r w:rsidR="00063CB5" w:rsidRPr="00063CB5">
        <w:rPr>
          <w:szCs w:val="16"/>
        </w:rPr>
        <w:t xml:space="preserve"> </w:t>
      </w:r>
      <w:r w:rsidR="00063CB5">
        <w:rPr>
          <w:szCs w:val="16"/>
        </w:rPr>
        <w:t xml:space="preserve">(2019) </w:t>
      </w:r>
      <w:r>
        <w:t xml:space="preserve">traces </w:t>
      </w:r>
      <w:r w:rsidRPr="006E2517">
        <w:t xml:space="preserve">how </w:t>
      </w:r>
      <w:r>
        <w:t xml:space="preserve">there could be </w:t>
      </w:r>
      <w:r w:rsidRPr="00C41659">
        <w:t xml:space="preserve">serious and contagious </w:t>
      </w:r>
      <w:r>
        <w:t xml:space="preserve">wholesale </w:t>
      </w:r>
      <w:r w:rsidRPr="00C41659">
        <w:t>bank run</w:t>
      </w:r>
      <w:r>
        <w:t>s</w:t>
      </w:r>
      <w:r w:rsidR="00EA418C" w:rsidRPr="00EA418C">
        <w:t xml:space="preserve"> </w:t>
      </w:r>
      <w:r w:rsidR="00EA418C" w:rsidRPr="006E2517">
        <w:t xml:space="preserve">if the </w:t>
      </w:r>
      <w:r w:rsidR="00EA418C">
        <w:t xml:space="preserve">US </w:t>
      </w:r>
      <w:r w:rsidR="00EA418C" w:rsidRPr="006E2517">
        <w:t>payment and settlement system went offline during the day</w:t>
      </w:r>
      <w:r w:rsidRPr="006E2517">
        <w:t>.</w:t>
      </w:r>
      <w:r w:rsidRPr="006E2517">
        <w:rPr>
          <w:rStyle w:val="FootnoteReference"/>
        </w:rPr>
        <w:footnoteReference w:id="14"/>
      </w:r>
      <w:r w:rsidRPr="006E2517">
        <w:t>  </w:t>
      </w:r>
      <w:r w:rsidR="00063CB5">
        <w:t xml:space="preserve">Using Australian data, Clarke and Hancock (2019) </w:t>
      </w:r>
      <w:r>
        <w:t>f</w:t>
      </w:r>
      <w:r w:rsidR="001C6065">
        <w:t>ound</w:t>
      </w:r>
      <w:r>
        <w:t xml:space="preserve"> that </w:t>
      </w:r>
      <w:r w:rsidR="00EA418C">
        <w:t>disruptions at</w:t>
      </w:r>
      <w:r w:rsidR="00EA418C" w:rsidRPr="006E2517">
        <w:t xml:space="preserve"> </w:t>
      </w:r>
      <w:r w:rsidRPr="006E2517">
        <w:t xml:space="preserve">one large bank </w:t>
      </w:r>
      <w:r>
        <w:t xml:space="preserve">could result in up to AUD </w:t>
      </w:r>
      <w:r w:rsidR="001C6065">
        <w:t>38</w:t>
      </w:r>
      <w:r>
        <w:t xml:space="preserve"> b</w:t>
      </w:r>
      <w:r w:rsidR="00FB04F1">
        <w:t>illion</w:t>
      </w:r>
      <w:r>
        <w:t xml:space="preserve"> of unsettled payments </w:t>
      </w:r>
      <w:r w:rsidR="002474C9">
        <w:t>(</w:t>
      </w:r>
      <w:r w:rsidR="001C6065">
        <w:t>7</w:t>
      </w:r>
      <w:r w:rsidR="00194F76">
        <w:t>.</w:t>
      </w:r>
      <w:r w:rsidR="00257371">
        <w:t>5</w:t>
      </w:r>
      <w:r w:rsidR="002474C9">
        <w:t xml:space="preserve"> times daily GDP)</w:t>
      </w:r>
      <w:r w:rsidR="00990FED">
        <w:t xml:space="preserve"> </w:t>
      </w:r>
      <w:r>
        <w:t xml:space="preserve">– though the systemic impact could be </w:t>
      </w:r>
      <w:r w:rsidR="001C6065">
        <w:t xml:space="preserve">substantially </w:t>
      </w:r>
      <w:r>
        <w:t>offset by liquidity</w:t>
      </w:r>
      <w:r w:rsidR="00FB04F1">
        <w:t>-</w:t>
      </w:r>
      <w:r>
        <w:t>saving measures in the real-time gross settlement (RTGS) system</w:t>
      </w:r>
      <w:r w:rsidRPr="006E2517">
        <w:t>.</w:t>
      </w:r>
      <w:r w:rsidRPr="006E2517">
        <w:rPr>
          <w:vertAlign w:val="superscript"/>
        </w:rPr>
        <w:footnoteReference w:id="15"/>
      </w:r>
    </w:p>
    <w:p w14:paraId="75C7EC9D" w14:textId="38A1A10B" w:rsidR="00E5422C" w:rsidRDefault="00E5422C" w:rsidP="001908F9">
      <w:pPr>
        <w:spacing w:after="160" w:line="259" w:lineRule="auto"/>
        <w:jc w:val="both"/>
      </w:pPr>
      <w:r w:rsidRPr="006E2517">
        <w:t xml:space="preserve">The third angle </w:t>
      </w:r>
      <w:r>
        <w:t>focuses</w:t>
      </w:r>
      <w:r w:rsidRPr="006E2517">
        <w:t xml:space="preserve"> on </w:t>
      </w:r>
      <w:r w:rsidRPr="006E2517">
        <w:rPr>
          <w:b/>
        </w:rPr>
        <w:t>growing third-party dependencies</w:t>
      </w:r>
      <w:r w:rsidRPr="006E2517">
        <w:t xml:space="preserve">. Reliance on cloud computing is </w:t>
      </w:r>
      <w:r>
        <w:t>increasing</w:t>
      </w:r>
      <w:r w:rsidRPr="006E2517">
        <w:t xml:space="preserve"> rapidly. Evidence suggests that firms using the cloud have so far seen </w:t>
      </w:r>
      <w:r w:rsidR="00E5561F">
        <w:t>lower</w:t>
      </w:r>
      <w:r w:rsidR="00E5561F" w:rsidRPr="006E2517">
        <w:t xml:space="preserve"> </w:t>
      </w:r>
      <w:r w:rsidRPr="006E2517">
        <w:t xml:space="preserve">cyber losses (Box A). However, the market for cloud services is highly concentrated (Graph </w:t>
      </w:r>
      <w:r>
        <w:t>4</w:t>
      </w:r>
      <w:r w:rsidRPr="006E2517">
        <w:t>), and there are warnings about increased homogeneity in the financial sector and the greater risk of single points of failure</w:t>
      </w:r>
      <w:r w:rsidR="00063CB5">
        <w:t xml:space="preserve"> (</w:t>
      </w:r>
      <w:proofErr w:type="spellStart"/>
      <w:r w:rsidR="00063CB5" w:rsidRPr="006E2517">
        <w:t>Danielsson</w:t>
      </w:r>
      <w:proofErr w:type="spellEnd"/>
      <w:r w:rsidR="00063CB5" w:rsidRPr="006E2517">
        <w:t xml:space="preserve"> and </w:t>
      </w:r>
      <w:proofErr w:type="spellStart"/>
      <w:r w:rsidR="00063CB5" w:rsidRPr="006E2517">
        <w:t>Macrae</w:t>
      </w:r>
      <w:proofErr w:type="spellEnd"/>
      <w:r w:rsidR="00063CB5">
        <w:t>, 2019; FSB, 2019, BCBS, 2018)</w:t>
      </w:r>
      <w:r w:rsidRPr="006E2517">
        <w:t>.</w:t>
      </w:r>
      <w:r w:rsidRPr="006E2517">
        <w:rPr>
          <w:rStyle w:val="FootnoteReference"/>
        </w:rPr>
        <w:footnoteReference w:id="16"/>
      </w:r>
      <w:r w:rsidRPr="006E2517">
        <w:t>  </w:t>
      </w:r>
      <w:r>
        <w:t xml:space="preserve">A recent survey indicates that 82% of companies increased </w:t>
      </w:r>
      <w:r w:rsidRPr="00134EA7">
        <w:t>cloud usage as a result of the coronavirus pandemic</w:t>
      </w:r>
      <w:r>
        <w:t xml:space="preserve"> and 91% are planning a more strategic use of cloud in the near future</w:t>
      </w:r>
      <w:r w:rsidR="00235552">
        <w:t xml:space="preserve"> (Snow, 2020)</w:t>
      </w:r>
      <w:r>
        <w:t>.</w:t>
      </w:r>
      <w:r w:rsidR="00FB04F1" w:rsidRPr="006E2517">
        <w:t>  </w:t>
      </w:r>
      <w:r w:rsidRPr="006E2517">
        <w:t xml:space="preserve">Through shared software, hardware and vendors, incidents could, in principle, spread more quickly, leading to higher </w:t>
      </w:r>
      <w:r>
        <w:t>losses for financial institutions and stress in the financial system</w:t>
      </w:r>
      <w:r w:rsidR="00235552">
        <w:t xml:space="preserve"> (</w:t>
      </w:r>
      <w:proofErr w:type="spellStart"/>
      <w:r w:rsidR="00235552" w:rsidRPr="006E2517">
        <w:rPr>
          <w:szCs w:val="16"/>
        </w:rPr>
        <w:t>Welburn</w:t>
      </w:r>
      <w:proofErr w:type="spellEnd"/>
      <w:r w:rsidR="00235552" w:rsidRPr="006E2517">
        <w:rPr>
          <w:szCs w:val="16"/>
        </w:rPr>
        <w:t xml:space="preserve"> and Strong</w:t>
      </w:r>
      <w:r w:rsidR="00235552">
        <w:rPr>
          <w:szCs w:val="16"/>
        </w:rPr>
        <w:t>, 2019)</w:t>
      </w:r>
      <w:r w:rsidRPr="006E2517">
        <w:t>.</w:t>
      </w:r>
      <w:r w:rsidR="00FB04F1" w:rsidRPr="006E2517">
        <w:t>  </w:t>
      </w:r>
      <w:r>
        <w:t>In the first four months of 2020, cyber threats targeting cloud services increased by six times in the financial industry</w:t>
      </w:r>
      <w:r w:rsidR="00235552">
        <w:t xml:space="preserve"> (McAfee, 2020)</w:t>
      </w:r>
      <w:r>
        <w:t>.</w:t>
      </w:r>
    </w:p>
    <w:p w14:paraId="11CD3DD9" w14:textId="77777777" w:rsidR="00E5422C" w:rsidRDefault="00E5422C">
      <w:pPr>
        <w:pStyle w:val="Paragraph"/>
      </w:pPr>
    </w:p>
    <w:tbl>
      <w:tblPr>
        <w:tblW w:w="9247" w:type="dxa"/>
        <w:tblInd w:w="-1616" w:type="dxa"/>
        <w:tblBorders>
          <w:top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2"/>
        <w:gridCol w:w="1305"/>
      </w:tblGrid>
      <w:tr w:rsidR="00E5422C" w:rsidRPr="006E2517" w14:paraId="23257C23" w14:textId="77777777" w:rsidTr="00E5422C">
        <w:trPr>
          <w:cantSplit/>
        </w:trPr>
        <w:tc>
          <w:tcPr>
            <w:tcW w:w="7942" w:type="dxa"/>
            <w:tcBorders>
              <w:bottom w:val="single" w:sz="4" w:space="0" w:color="auto"/>
              <w:right w:val="nil"/>
            </w:tcBorders>
          </w:tcPr>
          <w:p w14:paraId="09CA5639" w14:textId="77777777" w:rsidR="00E5422C" w:rsidRPr="006E2517" w:rsidRDefault="00E5422C" w:rsidP="00E5422C">
            <w:pPr>
              <w:pStyle w:val="GraphMainHeadingSegoeUI"/>
              <w:keepNext/>
            </w:pPr>
            <w:r w:rsidRPr="006E2517">
              <w:t>The market for cloud services is highly concentrated</w:t>
            </w:r>
            <w:r w:rsidRPr="006E2517">
              <w:rPr>
                <w:vertAlign w:val="superscript"/>
              </w:rPr>
              <w:t>1</w:t>
            </w:r>
          </w:p>
          <w:p w14:paraId="325A7883" w14:textId="77777777" w:rsidR="00E5422C" w:rsidRPr="006E2517" w:rsidRDefault="00E5422C" w:rsidP="00E5422C">
            <w:pPr>
              <w:pStyle w:val="GraphMainSubHeadingSegoeUI"/>
              <w:keepNext/>
            </w:pPr>
            <w:r w:rsidRPr="006E2517">
              <w:t>In per cent</w:t>
            </w:r>
          </w:p>
        </w:tc>
        <w:tc>
          <w:tcPr>
            <w:tcW w:w="1305" w:type="dxa"/>
            <w:tcBorders>
              <w:left w:val="nil"/>
              <w:bottom w:val="single" w:sz="4" w:space="0" w:color="auto"/>
            </w:tcBorders>
            <w:vAlign w:val="bottom"/>
          </w:tcPr>
          <w:p w14:paraId="53CE0F15" w14:textId="77777777" w:rsidR="00E5422C" w:rsidRPr="006E2517" w:rsidRDefault="00E5422C" w:rsidP="00E5422C">
            <w:pPr>
              <w:pStyle w:val="GraphNumberSegoeUI"/>
              <w:keepNext/>
            </w:pPr>
            <w:r w:rsidRPr="006E2517">
              <w:t>Graph </w:t>
            </w:r>
            <w:r>
              <w:t>4</w:t>
            </w:r>
          </w:p>
        </w:tc>
      </w:tr>
      <w:tr w:rsidR="00E5422C" w:rsidRPr="006E2517" w14:paraId="64C160FC" w14:textId="77777777" w:rsidTr="00E5422C">
        <w:trPr>
          <w:cantSplit/>
        </w:trPr>
        <w:tc>
          <w:tcPr>
            <w:tcW w:w="9247" w:type="dxa"/>
            <w:gridSpan w:val="2"/>
            <w:tcBorders>
              <w:top w:val="nil"/>
              <w:bottom w:val="nil"/>
            </w:tcBorders>
          </w:tcPr>
          <w:p w14:paraId="70180694" w14:textId="77777777" w:rsidR="00E5422C" w:rsidRPr="006E2517" w:rsidRDefault="00E5422C" w:rsidP="00E5422C">
            <w:pPr>
              <w:pStyle w:val="GraphPanelMain"/>
              <w:keepNext/>
            </w:pPr>
            <w:r w:rsidRPr="006E2517">
              <w:rPr>
                <w:noProof/>
                <w:lang w:eastAsia="en-GB"/>
              </w:rPr>
              <w:drawing>
                <wp:inline distT="0" distB="0" distL="0" distR="0" wp14:anchorId="7A32C946" wp14:editId="096082A3">
                  <wp:extent cx="5868000" cy="1956000"/>
                  <wp:effectExtent l="0" t="0" r="0" b="6350"/>
                  <wp:docPr id="10" name="Picture 10" descr="&lt;?xml version=&quot;1.0&quot; encoding=&quot;utf-8&quot;?&gt; &#10;&lt;XMLInfo&gt; &#10;&lt;DocFullFileName&gt;L:\DRS\Products\Bimonthly_Meetings\Notes_AllGovernors\2020_03\AllGov_032020_IA.docx&lt;/DocFullFileName&gt;&#10;&lt;EPSFullFileName&gt;L:\DRS\Products\Bimonthly_Meetings\Notes_AllGovernors\2020_03\graphs\g_cloud_pie.MEDCS.eps&lt;/EPSFullFileName&gt;&#10;&lt;EPSRelativeFileName&gt;graphs\g_cloud_pie.MEDCS.eps&lt;/EPSRelativeFileName&gt;&#10;&lt;EPSCreated&gt;20200220 08:28:39&lt;/EPSCreated&gt;&#10;&lt;EPSInsertedBy&gt;gi004099&lt;/EPSInsertedBy&gt;&#10;&lt;EPSInsertedDate&gt;20200220 08:29:54&lt;/EPSInsertedDate&gt;&#10;&lt;EPSModifiedDate&gt;20200220 08:31:59&lt;/EPSModifiedDate&gt;&#10;&lt;EPSUpdatedInDoc&gt;20200220 08:32:02&lt;/EPSUpdatedInDoc&gt;&#10;&lt;EPSModifiedBy&gt;gi004099&lt;/EPSModifiedBy&gt;&#10;&lt;XMLInfoVersionID&gt;2.0.0.0&lt;/XMLInfoVersionID&gt; &#10;&lt;EPSGUID&gt;{b1a41625-50e9-4ebf-8b20-cf3cba908441}&lt;/EPSGUID&gt;&#10;&lt;/XMLInfo&gt; &#10;" title="g_cloud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3">
                            <a:extLst>
                              <a:ext uri="{28A0092B-C50C-407E-A947-70E740481C1C}">
                                <a14:useLocalDpi xmlns:a14="http://schemas.microsoft.com/office/drawing/2010/main" val="0"/>
                              </a:ext>
                            </a:extLst>
                          </a:blip>
                          <a:stretch>
                            <a:fillRect/>
                          </a:stretch>
                        </pic:blipFill>
                        <pic:spPr>
                          <a:xfrm>
                            <a:off x="0" y="0"/>
                            <a:ext cx="5868000" cy="1956000"/>
                          </a:xfrm>
                          <a:prstGeom prst="rect">
                            <a:avLst/>
                          </a:prstGeom>
                        </pic:spPr>
                      </pic:pic>
                    </a:graphicData>
                  </a:graphic>
                </wp:inline>
              </w:drawing>
            </w:r>
          </w:p>
        </w:tc>
      </w:tr>
      <w:tr w:rsidR="00E5422C" w:rsidRPr="007F134B" w14:paraId="04BB98D1" w14:textId="77777777" w:rsidTr="00E5422C">
        <w:trPr>
          <w:cantSplit/>
        </w:trPr>
        <w:tc>
          <w:tcPr>
            <w:tcW w:w="9247" w:type="dxa"/>
            <w:gridSpan w:val="2"/>
            <w:tcBorders>
              <w:top w:val="nil"/>
              <w:bottom w:val="single" w:sz="4" w:space="0" w:color="auto"/>
            </w:tcBorders>
          </w:tcPr>
          <w:p w14:paraId="69B2A240" w14:textId="77777777" w:rsidR="00E5422C" w:rsidRDefault="00E5422C" w:rsidP="00E5422C">
            <w:pPr>
              <w:pStyle w:val="Paragraph"/>
              <w:spacing w:line="252" w:lineRule="auto"/>
              <w:ind w:firstLine="0"/>
              <w:rPr>
                <w:sz w:val="15"/>
                <w:szCs w:val="15"/>
              </w:rPr>
            </w:pPr>
            <w:r w:rsidRPr="006E2517">
              <w:rPr>
                <w:sz w:val="15"/>
                <w:szCs w:val="15"/>
                <w:vertAlign w:val="superscript"/>
              </w:rPr>
              <w:t>1</w:t>
            </w:r>
            <w:proofErr w:type="gramStart"/>
            <w:r w:rsidRPr="00134EA7">
              <w:rPr>
                <w:sz w:val="15"/>
                <w:szCs w:val="15"/>
              </w:rPr>
              <w:t>  </w:t>
            </w:r>
            <w:r w:rsidRPr="006E2517">
              <w:rPr>
                <w:sz w:val="15"/>
                <w:szCs w:val="15"/>
              </w:rPr>
              <w:t>The</w:t>
            </w:r>
            <w:proofErr w:type="gramEnd"/>
            <w:r w:rsidRPr="006E2517">
              <w:rPr>
                <w:sz w:val="15"/>
                <w:szCs w:val="15"/>
              </w:rPr>
              <w:t xml:space="preserve"> graph reports the share of each firm in the Cloud Infrastructure-as-a-Service (IaaS) market, across all industries, as of Q4 2019.</w:t>
            </w:r>
          </w:p>
          <w:p w14:paraId="05075103" w14:textId="77777777" w:rsidR="00E5422C" w:rsidRPr="007F134B" w:rsidRDefault="00E5422C" w:rsidP="00E5422C">
            <w:pPr>
              <w:pStyle w:val="Paragraph"/>
              <w:spacing w:line="252" w:lineRule="auto"/>
              <w:ind w:firstLine="0"/>
              <w:rPr>
                <w:sz w:val="15"/>
                <w:szCs w:val="15"/>
              </w:rPr>
            </w:pPr>
            <w:r w:rsidRPr="007F134B">
              <w:rPr>
                <w:sz w:val="15"/>
                <w:szCs w:val="15"/>
              </w:rPr>
              <w:t>Source: Synergy Research Group.</w:t>
            </w:r>
          </w:p>
        </w:tc>
      </w:tr>
    </w:tbl>
    <w:p w14:paraId="2BE22A4C" w14:textId="70BF40A7" w:rsidR="00A62155" w:rsidRPr="006E2517" w:rsidRDefault="0088268B" w:rsidP="000F6E02">
      <w:pPr>
        <w:pStyle w:val="IndentedHeading1"/>
      </w:pPr>
      <w:r>
        <w:lastRenderedPageBreak/>
        <w:t>6</w:t>
      </w:r>
      <w:r w:rsidR="00A62155" w:rsidRPr="006E2517">
        <w:t>. How can systemic vulnerabilities be mitigated?</w:t>
      </w:r>
    </w:p>
    <w:p w14:paraId="1E7D6B12" w14:textId="77777777" w:rsidR="00D91275" w:rsidRDefault="00723262" w:rsidP="001908F9">
      <w:pPr>
        <w:spacing w:after="160" w:line="259" w:lineRule="auto"/>
        <w:jc w:val="both"/>
      </w:pPr>
      <w:r w:rsidRPr="006E2517">
        <w:t xml:space="preserve">Policymakers and </w:t>
      </w:r>
      <w:r w:rsidR="00A40387" w:rsidRPr="006E2517">
        <w:t>businesses</w:t>
      </w:r>
      <w:r w:rsidRPr="006E2517">
        <w:t xml:space="preserve"> are actively working together to mitigate cyber risks and their systemic implications. These efforts fall in</w:t>
      </w:r>
      <w:r w:rsidR="00312167">
        <w:t>to</w:t>
      </w:r>
      <w:r w:rsidR="0059185E">
        <w:t xml:space="preserve"> four</w:t>
      </w:r>
      <w:r w:rsidRPr="006E2517">
        <w:t xml:space="preserve"> areas.</w:t>
      </w:r>
      <w:r w:rsidR="00D91275" w:rsidRPr="006E2517" w:rsidDel="00D91275">
        <w:rPr>
          <w:rFonts w:cs="Segoe UI"/>
          <w:noProof/>
          <w:vanish/>
          <w:color w:val="64964B"/>
          <w:sz w:val="16"/>
        </w:rPr>
        <w:t xml:space="preserve"> </w:t>
      </w:r>
    </w:p>
    <w:p w14:paraId="4C8153A0" w14:textId="77777777" w:rsidR="007436EB" w:rsidRPr="006E2517" w:rsidRDefault="00CF1B43" w:rsidP="001908F9">
      <w:pPr>
        <w:spacing w:after="160" w:line="259" w:lineRule="auto"/>
        <w:jc w:val="both"/>
      </w:pPr>
      <w:r w:rsidRPr="006E2517">
        <w:t>First,</w:t>
      </w:r>
      <w:r w:rsidR="007436EB" w:rsidRPr="006E2517">
        <w:t xml:space="preserve"> </w:t>
      </w:r>
      <w:r w:rsidR="00A85703">
        <w:t>many</w:t>
      </w:r>
      <w:r w:rsidR="007436EB" w:rsidRPr="006E2517">
        <w:t xml:space="preserve"> </w:t>
      </w:r>
      <w:r w:rsidR="0059185E">
        <w:t xml:space="preserve">private and public sector </w:t>
      </w:r>
      <w:r w:rsidR="007436EB" w:rsidRPr="006E2517">
        <w:t>organisations are</w:t>
      </w:r>
      <w:r w:rsidR="0059185E">
        <w:t xml:space="preserve"> </w:t>
      </w:r>
      <w:r w:rsidR="007436EB" w:rsidRPr="006E2517">
        <w:t>strengthen</w:t>
      </w:r>
      <w:r w:rsidR="0059185E">
        <w:t>ing</w:t>
      </w:r>
      <w:r w:rsidR="007436EB" w:rsidRPr="006E2517">
        <w:t xml:space="preserve"> their </w:t>
      </w:r>
      <w:r w:rsidR="007436EB" w:rsidRPr="006E2517">
        <w:rPr>
          <w:b/>
        </w:rPr>
        <w:t>operational resilience</w:t>
      </w:r>
      <w:r w:rsidR="007436EB" w:rsidRPr="006E2517">
        <w:t xml:space="preserve">. In many cases, this involves aligning security activities </w:t>
      </w:r>
      <w:r w:rsidR="0059185E">
        <w:t>with</w:t>
      </w:r>
      <w:r w:rsidR="007436EB" w:rsidRPr="006E2517">
        <w:t xml:space="preserve"> business objectives and prioritising </w:t>
      </w:r>
      <w:r w:rsidR="00581CF5" w:rsidRPr="006E2517">
        <w:t xml:space="preserve">cyber </w:t>
      </w:r>
      <w:r w:rsidR="007436EB" w:rsidRPr="006E2517">
        <w:t xml:space="preserve">security investments. It also involves </w:t>
      </w:r>
      <w:r w:rsidR="00382E7C">
        <w:t>instilling</w:t>
      </w:r>
      <w:r w:rsidR="00382E7C" w:rsidRPr="006E2517">
        <w:t xml:space="preserve"> </w:t>
      </w:r>
      <w:r w:rsidR="007436EB" w:rsidRPr="006E2517">
        <w:t>an “assume</w:t>
      </w:r>
      <w:r w:rsidR="00EA418C">
        <w:t>-</w:t>
      </w:r>
      <w:r w:rsidR="007436EB" w:rsidRPr="006E2517">
        <w:t>breach” mentality at both th</w:t>
      </w:r>
      <w:r w:rsidR="007436EB" w:rsidRPr="00800AAD">
        <w:t>e</w:t>
      </w:r>
      <w:r w:rsidR="007436EB" w:rsidRPr="006E2517">
        <w:t xml:space="preserve"> operational and governance </w:t>
      </w:r>
      <w:r w:rsidR="007436EB" w:rsidRPr="00800AAD">
        <w:t>levels.</w:t>
      </w:r>
      <w:r w:rsidR="00C33F62" w:rsidRPr="00800AAD">
        <w:t xml:space="preserve"> </w:t>
      </w:r>
      <w:r w:rsidR="00A574F8" w:rsidRPr="00800AAD">
        <w:t xml:space="preserve">Organisations can </w:t>
      </w:r>
      <w:r w:rsidR="006F79AC" w:rsidRPr="00800AAD">
        <w:t xml:space="preserve">also </w:t>
      </w:r>
      <w:r w:rsidR="00A574F8" w:rsidRPr="00800AAD">
        <w:t xml:space="preserve">learn from </w:t>
      </w:r>
      <w:r w:rsidR="00394BBE" w:rsidRPr="00800AAD">
        <w:t xml:space="preserve">each </w:t>
      </w:r>
      <w:r w:rsidR="00A574F8" w:rsidRPr="00800AAD">
        <w:t xml:space="preserve">other. For instance, the BIS has recently created a Cyber Resilience Coordination Centre (CRCC). </w:t>
      </w:r>
      <w:r w:rsidR="0059185E" w:rsidRPr="00800AAD">
        <w:t xml:space="preserve">Its </w:t>
      </w:r>
      <w:r w:rsidR="00A574F8" w:rsidRPr="00800AAD">
        <w:t>objective is to provide a structured and trusted approach to knowledge</w:t>
      </w:r>
      <w:r w:rsidR="00394BBE" w:rsidRPr="00800AAD">
        <w:t>-</w:t>
      </w:r>
      <w:r w:rsidR="00A574F8" w:rsidRPr="00800AAD">
        <w:t>sharing and collaboration among central banks.</w:t>
      </w:r>
      <w:r w:rsidR="00A574F8" w:rsidRPr="00800AAD">
        <w:rPr>
          <w:rStyle w:val="FootnoteReference"/>
        </w:rPr>
        <w:footnoteReference w:id="17"/>
      </w:r>
      <w:r w:rsidR="00205330" w:rsidRPr="00800AAD">
        <w:t>  </w:t>
      </w:r>
      <w:r w:rsidR="00A53388" w:rsidRPr="00800AAD">
        <w:t>While global information-sharing</w:t>
      </w:r>
      <w:r w:rsidR="00A53388" w:rsidRPr="00A53388">
        <w:t xml:space="preserve"> and regulatory cooperation on cyber risk may be constrained due to the topic’s political sensitivity</w:t>
      </w:r>
      <w:r w:rsidR="00A53388">
        <w:t>, t</w:t>
      </w:r>
      <w:r w:rsidR="00A53388" w:rsidRPr="00A53388">
        <w:t>he central banking community</w:t>
      </w:r>
      <w:r w:rsidR="00A53388">
        <w:t xml:space="preserve"> </w:t>
      </w:r>
      <w:r w:rsidR="00A53388" w:rsidRPr="00A53388">
        <w:t xml:space="preserve">may </w:t>
      </w:r>
      <w:r w:rsidR="00382E7C">
        <w:t>be more able</w:t>
      </w:r>
      <w:r w:rsidR="00A53388" w:rsidRPr="00A53388">
        <w:t xml:space="preserve"> to foster open dialogue.</w:t>
      </w:r>
      <w:r w:rsidR="00A53388">
        <w:t xml:space="preserve"> </w:t>
      </w:r>
      <w:r w:rsidR="007F6600" w:rsidRPr="000E4CBC">
        <w:t>The need for coordination and common policy response</w:t>
      </w:r>
      <w:r w:rsidR="00B83E24">
        <w:t>s</w:t>
      </w:r>
      <w:r w:rsidR="007F6600" w:rsidRPr="000E4CBC">
        <w:t xml:space="preserve"> is particularly high during the current pandemic due to the shared nature of </w:t>
      </w:r>
      <w:r w:rsidR="00900F31">
        <w:t>vulnerabilities</w:t>
      </w:r>
      <w:r w:rsidR="00900F31" w:rsidRPr="00B35BC8">
        <w:t xml:space="preserve"> </w:t>
      </w:r>
      <w:r w:rsidR="007F6600" w:rsidRPr="00B35BC8">
        <w:t>in a WFH environment.</w:t>
      </w:r>
      <w:r w:rsidR="007F6600" w:rsidRPr="000E4CBC">
        <w:t xml:space="preserve"> </w:t>
      </w:r>
    </w:p>
    <w:p w14:paraId="187202E9" w14:textId="77777777" w:rsidR="00723262" w:rsidRPr="006E2517" w:rsidRDefault="007436EB" w:rsidP="001908F9">
      <w:pPr>
        <w:spacing w:after="160" w:line="259" w:lineRule="auto"/>
        <w:jc w:val="both"/>
      </w:pPr>
      <w:r w:rsidRPr="006E2517">
        <w:t>Second,</w:t>
      </w:r>
      <w:r w:rsidR="00CF1B43" w:rsidRPr="006E2517">
        <w:t xml:space="preserve"> </w:t>
      </w:r>
      <w:r w:rsidR="00EA418C">
        <w:t>financial</w:t>
      </w:r>
      <w:r w:rsidR="00CF1B43" w:rsidRPr="006E2517">
        <w:t xml:space="preserve"> </w:t>
      </w:r>
      <w:r w:rsidR="00C54033" w:rsidRPr="006E2517">
        <w:t>superviso</w:t>
      </w:r>
      <w:r w:rsidRPr="006E2517">
        <w:t>rs</w:t>
      </w:r>
      <w:r w:rsidR="004A5E36">
        <w:t xml:space="preserve"> and overseers</w:t>
      </w:r>
      <w:r w:rsidR="00741FD9" w:rsidRPr="006E2517">
        <w:t xml:space="preserve"> are</w:t>
      </w:r>
      <w:r w:rsidRPr="006E2517">
        <w:t xml:space="preserve"> </w:t>
      </w:r>
      <w:r w:rsidR="007325FC" w:rsidRPr="006E2517">
        <w:t>leverag</w:t>
      </w:r>
      <w:r w:rsidR="00741FD9" w:rsidRPr="006E2517">
        <w:t>ing</w:t>
      </w:r>
      <w:r w:rsidR="007325FC" w:rsidRPr="006E2517">
        <w:t xml:space="preserve"> national or international</w:t>
      </w:r>
      <w:r w:rsidR="00F51E30" w:rsidRPr="006E2517">
        <w:t xml:space="preserve"> </w:t>
      </w:r>
      <w:r w:rsidR="00F51E30" w:rsidRPr="006E2517">
        <w:rPr>
          <w:b/>
        </w:rPr>
        <w:t>standards</w:t>
      </w:r>
      <w:r w:rsidR="00CF1B43" w:rsidRPr="006E2517">
        <w:rPr>
          <w:b/>
        </w:rPr>
        <w:t xml:space="preserve"> </w:t>
      </w:r>
      <w:r w:rsidR="00C54033" w:rsidRPr="006E2517">
        <w:rPr>
          <w:b/>
        </w:rPr>
        <w:t>or guidance</w:t>
      </w:r>
      <w:r w:rsidR="00C54033" w:rsidRPr="006E2517">
        <w:t xml:space="preserve"> </w:t>
      </w:r>
      <w:r w:rsidR="00CF1B43" w:rsidRPr="006E2517">
        <w:t>to promote c</w:t>
      </w:r>
      <w:r w:rsidR="00723262" w:rsidRPr="006E2517">
        <w:t>yber resilience</w:t>
      </w:r>
      <w:r w:rsidR="000E1F23">
        <w:t xml:space="preserve"> (CPMI-IOSCO, 2016; US NIST, 2018; ISO/IEC, 2018)</w:t>
      </w:r>
      <w:r w:rsidR="00CF1B43" w:rsidRPr="006E2517">
        <w:t>.</w:t>
      </w:r>
      <w:r w:rsidR="00855576" w:rsidRPr="006E2517">
        <w:t>  </w:t>
      </w:r>
      <w:r w:rsidR="007325FC" w:rsidRPr="006E2517">
        <w:t xml:space="preserve">In many cases, </w:t>
      </w:r>
      <w:r w:rsidR="00F42F34" w:rsidRPr="006E2517">
        <w:t xml:space="preserve">authorities </w:t>
      </w:r>
      <w:r w:rsidR="0059185E">
        <w:t xml:space="preserve">are </w:t>
      </w:r>
      <w:r w:rsidR="001867AC">
        <w:t>us</w:t>
      </w:r>
      <w:r w:rsidR="0059185E">
        <w:t>ing</w:t>
      </w:r>
      <w:r w:rsidR="001867AC">
        <w:t xml:space="preserve"> existing regulatory and supervisory tools to </w:t>
      </w:r>
      <w:r w:rsidR="00F42F34" w:rsidRPr="006E2517">
        <w:t xml:space="preserve">set expectations </w:t>
      </w:r>
      <w:r w:rsidR="00581CF5" w:rsidRPr="006E2517">
        <w:t>for</w:t>
      </w:r>
      <w:r w:rsidR="00F42F34" w:rsidRPr="006E2517">
        <w:t xml:space="preserve"> cyber risk management, testing and incident response.</w:t>
      </w:r>
      <w:r w:rsidR="00F42F34" w:rsidRPr="006E2517">
        <w:rPr>
          <w:rStyle w:val="FootnoteReference"/>
        </w:rPr>
        <w:footnoteReference w:id="18"/>
      </w:r>
      <w:r w:rsidR="00E44F8C" w:rsidRPr="006E2517">
        <w:t>  </w:t>
      </w:r>
      <w:r w:rsidR="00581CF5" w:rsidRPr="006E2517">
        <w:t>M</w:t>
      </w:r>
      <w:r w:rsidR="00F42F34" w:rsidRPr="006E2517">
        <w:t xml:space="preserve">any authorities </w:t>
      </w:r>
      <w:r w:rsidR="00A53388">
        <w:t xml:space="preserve">are </w:t>
      </w:r>
      <w:r w:rsidR="00F42F34" w:rsidRPr="006E2517">
        <w:t>adopt</w:t>
      </w:r>
      <w:r w:rsidR="00A53388">
        <w:t>ing</w:t>
      </w:r>
      <w:r w:rsidR="00F42F34" w:rsidRPr="006E2517">
        <w:t xml:space="preserve"> a princ</w:t>
      </w:r>
      <w:r w:rsidR="001B5286">
        <w:t xml:space="preserve">iples-based approach, and </w:t>
      </w:r>
      <w:r w:rsidR="00EA418C">
        <w:t xml:space="preserve">are </w:t>
      </w:r>
      <w:r w:rsidR="001B5286">
        <w:t>emphasis</w:t>
      </w:r>
      <w:r w:rsidR="00A53388">
        <w:t>ing</w:t>
      </w:r>
      <w:r w:rsidR="00F42F34" w:rsidRPr="006E2517">
        <w:t xml:space="preserve"> response and recovery rather than prevention</w:t>
      </w:r>
      <w:r w:rsidR="00184DB7">
        <w:t xml:space="preserve"> (FSB, 2020; BCBS, 2020)</w:t>
      </w:r>
      <w:r w:rsidR="00F42F34" w:rsidRPr="006E2517">
        <w:t>.</w:t>
      </w:r>
      <w:r w:rsidR="00F60F9B" w:rsidRPr="006E2517">
        <w:t>  </w:t>
      </w:r>
      <w:r w:rsidR="00B108E4" w:rsidRPr="006E2517">
        <w:t>Some are engaging in testing or simulations of actual cyber incidents, in cooperation with the financial sector.</w:t>
      </w:r>
      <w:r w:rsidR="00B108E4" w:rsidRPr="006E2517">
        <w:rPr>
          <w:rStyle w:val="FootnoteReference"/>
        </w:rPr>
        <w:footnoteReference w:id="19"/>
      </w:r>
      <w:r w:rsidR="00E44F8C" w:rsidRPr="006E2517">
        <w:t>  </w:t>
      </w:r>
      <w:r w:rsidR="00152D7F">
        <w:t xml:space="preserve">Globally, the CPMI and IOSCO </w:t>
      </w:r>
      <w:r w:rsidR="0099721C">
        <w:t xml:space="preserve">have </w:t>
      </w:r>
      <w:r w:rsidR="00152D7F">
        <w:t xml:space="preserve">issued guidance on cyber resilience for FMIs, and have since been engaging with the industry to promote practices set out in the guidance. The CPMI has also developed a global strategy on </w:t>
      </w:r>
      <w:r w:rsidR="00152D7F" w:rsidRPr="004A5E36">
        <w:t>reduc</w:t>
      </w:r>
      <w:r w:rsidR="00152D7F">
        <w:t>ing</w:t>
      </w:r>
      <w:r w:rsidR="00152D7F" w:rsidRPr="004A5E36">
        <w:t xml:space="preserve"> risk</w:t>
      </w:r>
      <w:r w:rsidR="00152D7F">
        <w:t>s</w:t>
      </w:r>
      <w:r w:rsidR="00152D7F" w:rsidRPr="004A5E36">
        <w:t xml:space="preserve"> of wholesale payments fraud related to endpoint security</w:t>
      </w:r>
      <w:r w:rsidR="00184DB7">
        <w:t xml:space="preserve"> (CPMI, 2018; 2019)</w:t>
      </w:r>
      <w:r w:rsidR="00152D7F">
        <w:t>.</w:t>
      </w:r>
      <w:r w:rsidR="0099721C" w:rsidRPr="006E2517">
        <w:t>  </w:t>
      </w:r>
      <w:r w:rsidR="00815D2C" w:rsidRPr="006E2517">
        <w:t xml:space="preserve">In addition to global initiatives, there are also several regional </w:t>
      </w:r>
      <w:r w:rsidR="009F6765" w:rsidRPr="006E2517">
        <w:t xml:space="preserve">groups </w:t>
      </w:r>
      <w:r w:rsidR="00815D2C" w:rsidRPr="006E2517">
        <w:t>and cooperation for</w:t>
      </w:r>
      <w:r w:rsidR="003E73AE" w:rsidRPr="006E2517">
        <w:t>ums</w:t>
      </w:r>
      <w:r w:rsidR="00815D2C" w:rsidRPr="006E2517">
        <w:t>.</w:t>
      </w:r>
      <w:r w:rsidR="00815D2C" w:rsidRPr="006E2517">
        <w:rPr>
          <w:rStyle w:val="FootnoteReference"/>
        </w:rPr>
        <w:footnoteReference w:id="20"/>
      </w:r>
    </w:p>
    <w:p w14:paraId="68E659B1" w14:textId="77777777" w:rsidR="00475E38" w:rsidRPr="006E2517" w:rsidRDefault="00F42F34" w:rsidP="001908F9">
      <w:pPr>
        <w:spacing w:after="160" w:line="259" w:lineRule="auto"/>
        <w:jc w:val="both"/>
      </w:pPr>
      <w:r w:rsidRPr="006E2517">
        <w:t xml:space="preserve">Third, several </w:t>
      </w:r>
      <w:r w:rsidRPr="006E2517">
        <w:rPr>
          <w:b/>
        </w:rPr>
        <w:t>private sector-led initiatives</w:t>
      </w:r>
      <w:r w:rsidRPr="006E2517">
        <w:t xml:space="preserve"> are under</w:t>
      </w:r>
      <w:r w:rsidR="003E73AE" w:rsidRPr="006E2517">
        <w:t xml:space="preserve"> </w:t>
      </w:r>
      <w:r w:rsidRPr="006E2517">
        <w:t>way.</w:t>
      </w:r>
      <w:r w:rsidR="00475E38" w:rsidRPr="006E2517">
        <w:rPr>
          <w:rStyle w:val="FootnoteReference"/>
        </w:rPr>
        <w:footnoteReference w:id="21"/>
      </w:r>
      <w:r w:rsidR="00635573" w:rsidRPr="006E2517">
        <w:t>  </w:t>
      </w:r>
      <w:r w:rsidRPr="006E2517">
        <w:t>These</w:t>
      </w:r>
      <w:r w:rsidR="00475E38" w:rsidRPr="006E2517" w:rsidDel="003B2EB8">
        <w:t xml:space="preserve"> </w:t>
      </w:r>
      <w:r w:rsidRPr="006E2517">
        <w:t>can support cooperation and coordination in incident prevention, response and recovery</w:t>
      </w:r>
      <w:r w:rsidR="009E67C0" w:rsidRPr="006E2517">
        <w:t>,</w:t>
      </w:r>
      <w:r w:rsidRPr="006E2517">
        <w:t xml:space="preserve"> and information</w:t>
      </w:r>
      <w:r w:rsidR="00A85703">
        <w:t>-sharing</w:t>
      </w:r>
      <w:r w:rsidRPr="006E2517">
        <w:t xml:space="preserve">. </w:t>
      </w:r>
      <w:r w:rsidR="006F79AC" w:rsidRPr="006E2517">
        <w:t xml:space="preserve">To </w:t>
      </w:r>
      <w:r w:rsidR="001531AC" w:rsidRPr="006E2517">
        <w:t>help mitigate</w:t>
      </w:r>
      <w:r w:rsidR="006F79AC" w:rsidRPr="006E2517">
        <w:t xml:space="preserve"> </w:t>
      </w:r>
      <w:r w:rsidR="001531AC" w:rsidRPr="006E2517">
        <w:t xml:space="preserve">cyber risks from </w:t>
      </w:r>
      <w:r w:rsidR="006F79AC" w:rsidRPr="006E2517">
        <w:t xml:space="preserve">third-party dependencies in </w:t>
      </w:r>
      <w:r w:rsidR="006F79AC" w:rsidRPr="006E2517">
        <w:lastRenderedPageBreak/>
        <w:t xml:space="preserve">cloud services, </w:t>
      </w:r>
      <w:r w:rsidR="001531AC" w:rsidRPr="006E2517">
        <w:t>financial institutions are cooperating on frameworks for data portability and interoperability across cloud providers</w:t>
      </w:r>
      <w:r w:rsidR="00184DB7">
        <w:t xml:space="preserve"> (FSB, 2019; G7, 2018)</w:t>
      </w:r>
      <w:r w:rsidR="001531AC" w:rsidRPr="006E2517">
        <w:t xml:space="preserve">. </w:t>
      </w:r>
    </w:p>
    <w:p w14:paraId="680BCC37" w14:textId="77777777" w:rsidR="001F65C8" w:rsidRDefault="00475E38" w:rsidP="001908F9">
      <w:pPr>
        <w:spacing w:after="160" w:line="259" w:lineRule="auto"/>
        <w:jc w:val="both"/>
      </w:pPr>
      <w:r w:rsidRPr="006E2517">
        <w:t>F</w:t>
      </w:r>
      <w:r w:rsidR="002E41FD" w:rsidRPr="006E2517">
        <w:t>our</w:t>
      </w:r>
      <w:r w:rsidRPr="006E2517">
        <w:t>th,</w:t>
      </w:r>
      <w:r w:rsidR="00723262" w:rsidRPr="006E2517" w:rsidDel="003B2EB8">
        <w:t xml:space="preserve"> </w:t>
      </w:r>
      <w:r w:rsidR="00723262" w:rsidRPr="006E2517">
        <w:rPr>
          <w:b/>
        </w:rPr>
        <w:t>cyber insurance</w:t>
      </w:r>
      <w:r w:rsidR="00723262" w:rsidRPr="006E2517">
        <w:t xml:space="preserve"> markets</w:t>
      </w:r>
      <w:r w:rsidR="003B2EB8" w:rsidRPr="006E2517">
        <w:t xml:space="preserve"> are developing</w:t>
      </w:r>
      <w:r w:rsidR="008D79D8">
        <w:t xml:space="preserve"> (</w:t>
      </w:r>
      <w:proofErr w:type="spellStart"/>
      <w:r w:rsidR="008D79D8">
        <w:t>Biener</w:t>
      </w:r>
      <w:proofErr w:type="spellEnd"/>
      <w:r w:rsidR="008D79D8">
        <w:t xml:space="preserve"> et al., 2015)</w:t>
      </w:r>
      <w:r w:rsidR="00F42F34" w:rsidRPr="006E2517">
        <w:t>.</w:t>
      </w:r>
      <w:r w:rsidR="00635573" w:rsidRPr="006E2517">
        <w:t>  </w:t>
      </w:r>
      <w:r w:rsidR="00F42F34" w:rsidRPr="006E2517">
        <w:t>C</w:t>
      </w:r>
      <w:r w:rsidR="00723262" w:rsidRPr="006E2517">
        <w:t xml:space="preserve">yber insurance could help firms to cover losses and </w:t>
      </w:r>
      <w:r w:rsidR="003B2EB8" w:rsidRPr="006E2517">
        <w:t>encourage</w:t>
      </w:r>
      <w:r w:rsidR="00815D2C" w:rsidRPr="006E2517">
        <w:t xml:space="preserve"> improve</w:t>
      </w:r>
      <w:r w:rsidR="003B2EB8" w:rsidRPr="006E2517">
        <w:t>ments in</w:t>
      </w:r>
      <w:r w:rsidR="00815D2C" w:rsidRPr="006E2517">
        <w:t xml:space="preserve"> cyber resilience. </w:t>
      </w:r>
      <w:r w:rsidR="003B2EB8" w:rsidRPr="006E2517">
        <w:t>That said</w:t>
      </w:r>
      <w:r w:rsidR="00815D2C" w:rsidRPr="006E2517">
        <w:t xml:space="preserve">, such coverage may be insufficient to </w:t>
      </w:r>
      <w:r w:rsidR="003B2EB8" w:rsidRPr="006E2517">
        <w:t xml:space="preserve">avoid </w:t>
      </w:r>
      <w:r w:rsidR="00815D2C" w:rsidRPr="006E2517">
        <w:t xml:space="preserve">large tail risks, and </w:t>
      </w:r>
      <w:r w:rsidR="00723262" w:rsidRPr="006E2517">
        <w:t xml:space="preserve">may </w:t>
      </w:r>
      <w:r w:rsidR="00815D2C" w:rsidRPr="006E2517">
        <w:t xml:space="preserve">even work to spread </w:t>
      </w:r>
      <w:r w:rsidR="003B2EB8" w:rsidRPr="006E2517">
        <w:t xml:space="preserve">the losses from </w:t>
      </w:r>
      <w:r w:rsidR="00815D2C" w:rsidRPr="006E2517">
        <w:t>systemic shocks</w:t>
      </w:r>
      <w:r w:rsidR="00774328">
        <w:t>.</w:t>
      </w:r>
    </w:p>
    <w:p w14:paraId="27A64FEB" w14:textId="77777777" w:rsidR="00D712C8" w:rsidRPr="006E2517" w:rsidRDefault="0088268B" w:rsidP="00D71DCF">
      <w:pPr>
        <w:pStyle w:val="Heading1"/>
        <w:spacing w:before="360"/>
      </w:pPr>
      <w:r>
        <w:t>7. Conclusions</w:t>
      </w:r>
    </w:p>
    <w:p w14:paraId="3254C077" w14:textId="778FDCCC" w:rsidR="00286BDC" w:rsidRPr="00800AAD" w:rsidRDefault="00286BDC" w:rsidP="001908F9">
      <w:pPr>
        <w:spacing w:after="160" w:line="259" w:lineRule="auto"/>
        <w:jc w:val="both"/>
      </w:pPr>
      <w:r w:rsidRPr="00800AAD">
        <w:t>The digital revolution has increased the interconnectivity and complexity of the econom</w:t>
      </w:r>
      <w:r w:rsidR="00643515">
        <w:t>y and financial</w:t>
      </w:r>
      <w:r w:rsidRPr="00800AAD">
        <w:t xml:space="preserve"> system. The use of technology and</w:t>
      </w:r>
      <w:r w:rsidR="00643515">
        <w:t xml:space="preserve"> the</w:t>
      </w:r>
      <w:r w:rsidRPr="00800AAD">
        <w:t xml:space="preserve"> internet ha</w:t>
      </w:r>
      <w:r w:rsidR="00643515">
        <w:t>ve</w:t>
      </w:r>
      <w:r w:rsidRPr="00800AAD">
        <w:t xml:space="preserve"> improved financial sector productivity, but also make it </w:t>
      </w:r>
      <w:r w:rsidR="00643515">
        <w:t xml:space="preserve">more </w:t>
      </w:r>
      <w:r w:rsidRPr="00800AAD">
        <w:t xml:space="preserve">vulnerable to the spread of viruses and malware. Moreover, the greater use of cloud services exposes </w:t>
      </w:r>
      <w:r w:rsidR="00643515">
        <w:t xml:space="preserve">the system to </w:t>
      </w:r>
      <w:r w:rsidRPr="00800AAD">
        <w:t xml:space="preserve">further to common risks, </w:t>
      </w:r>
      <w:r w:rsidR="00643515">
        <w:t>thus increasing the potential for systemic</w:t>
      </w:r>
      <w:r w:rsidRPr="00800AAD">
        <w:t xml:space="preserve"> </w:t>
      </w:r>
      <w:proofErr w:type="spellStart"/>
      <w:r w:rsidRPr="00800AAD">
        <w:t>cyber attacks</w:t>
      </w:r>
      <w:proofErr w:type="spellEnd"/>
      <w:r w:rsidRPr="00800AAD">
        <w:t>.</w:t>
      </w:r>
    </w:p>
    <w:p w14:paraId="786863C1" w14:textId="77777777" w:rsidR="00286BDC" w:rsidRPr="00800AAD" w:rsidRDefault="00286BDC" w:rsidP="001908F9">
      <w:pPr>
        <w:spacing w:after="160" w:line="259" w:lineRule="auto"/>
        <w:jc w:val="both"/>
      </w:pPr>
      <w:r w:rsidRPr="00800AAD">
        <w:t xml:space="preserve">Despite the large and growing exposure to cyber risks, cyber costs are difficult to define and quantify. This note offers a taxonomy of cyber incidents. It explores causes, considers the specific vulnerabilities of the financial sector, examines costs and financial stability implications and outlines possible policy responses. </w:t>
      </w:r>
    </w:p>
    <w:p w14:paraId="57C7CABD" w14:textId="266D5BA5" w:rsidR="00286BDC" w:rsidRPr="00A572CA" w:rsidRDefault="00A572CA" w:rsidP="001908F9">
      <w:pPr>
        <w:spacing w:after="160" w:line="259" w:lineRule="auto"/>
        <w:jc w:val="both"/>
      </w:pPr>
      <w:r w:rsidRPr="00800AAD">
        <w:t>Policymakers and businesses are actively working together to mitigate cyber risks and their systemic implications. Cooperation efforts fall in four areas. First, many private and public sector organisations are strengthening their operational resilience. In many cases, this involves aligning security activities with business objectives and prioritising cyber security investments. Second, financial supervisors and overseers are leveraging national or international standards or guidance to promote cyber resilience. Third, private sector-led initiatives are under way to support cooperation and coordination in incident prevention, response and recovery, and information-sharing. Fourth,</w:t>
      </w:r>
      <w:r w:rsidRPr="00800AAD" w:rsidDel="003B2EB8">
        <w:t xml:space="preserve"> </w:t>
      </w:r>
      <w:r w:rsidRPr="00800AAD">
        <w:t xml:space="preserve">cyber insurance markets are developing. </w:t>
      </w:r>
      <w:r w:rsidR="004C1E72" w:rsidRPr="00800AAD">
        <w:t xml:space="preserve">Looking forward, </w:t>
      </w:r>
      <w:r w:rsidR="00630B8F" w:rsidRPr="00800AAD">
        <w:t xml:space="preserve">these efforts are </w:t>
      </w:r>
      <w:r w:rsidR="00800AAD">
        <w:t>increasingly important</w:t>
      </w:r>
      <w:r w:rsidR="00630B8F" w:rsidRPr="00800AAD">
        <w:t xml:space="preserve"> to protect levels of remote working that will likely remain higher than they were </w:t>
      </w:r>
      <w:r w:rsidR="00643515">
        <w:t xml:space="preserve">prior to the </w:t>
      </w:r>
      <w:r w:rsidR="00630B8F" w:rsidRPr="00800AAD">
        <w:t>Covid</w:t>
      </w:r>
      <w:r w:rsidR="00643515">
        <w:t>-</w:t>
      </w:r>
      <w:r w:rsidR="00630B8F" w:rsidRPr="00800AAD">
        <w:t>19</w:t>
      </w:r>
      <w:r w:rsidR="00643515">
        <w:t xml:space="preserve"> pandemic</w:t>
      </w:r>
      <w:r w:rsidR="00630B8F" w:rsidRPr="00800AAD">
        <w:t>.</w:t>
      </w:r>
    </w:p>
    <w:p w14:paraId="26B99698" w14:textId="77777777" w:rsidR="009F108B" w:rsidRDefault="009F108B" w:rsidP="009F108B">
      <w:pPr>
        <w:pStyle w:val="Paragraph"/>
      </w:pPr>
    </w:p>
    <w:p w14:paraId="38D30835" w14:textId="77777777" w:rsidR="009F108B" w:rsidRDefault="009F108B" w:rsidP="009F108B">
      <w:pPr>
        <w:pStyle w:val="Heading1"/>
        <w:spacing w:before="360"/>
      </w:pPr>
      <w:r>
        <w:t>References</w:t>
      </w:r>
    </w:p>
    <w:p w14:paraId="12EE9B92" w14:textId="77777777" w:rsidR="000E1F23" w:rsidRPr="001908F9" w:rsidRDefault="000E1F23" w:rsidP="00ED6B6D">
      <w:pPr>
        <w:pStyle w:val="Paragraph"/>
        <w:spacing w:after="60"/>
        <w:ind w:firstLine="0"/>
      </w:pPr>
      <w:r w:rsidRPr="001908F9">
        <w:t>Aldasoro I., Frost. J., Gambacorta L. and D. Whyte (2020). “Covid-19 and cyber risk in the financial sector”, BIS Bulletin, forthcoming.</w:t>
      </w:r>
    </w:p>
    <w:p w14:paraId="66D2D9FF" w14:textId="77777777" w:rsidR="000E1F23" w:rsidRPr="001908F9" w:rsidRDefault="000E1F23" w:rsidP="00ED6B6D">
      <w:pPr>
        <w:pStyle w:val="Paragraph"/>
        <w:spacing w:after="60"/>
        <w:ind w:firstLine="0"/>
      </w:pPr>
      <w:r w:rsidRPr="001908F9">
        <w:rPr>
          <w:lang w:val="it-CH"/>
        </w:rPr>
        <w:t xml:space="preserve">Aldasoro I., Gambacorta L., Giudici P. and Leach T. (2020a). </w:t>
      </w:r>
      <w:r w:rsidRPr="001908F9">
        <w:t>“Operational and cyber risks in the financial sector”, BIS Working Papers, 840, February.</w:t>
      </w:r>
    </w:p>
    <w:p w14:paraId="4202010D" w14:textId="77777777" w:rsidR="000E1F23" w:rsidRPr="001908F9" w:rsidRDefault="000E1F23" w:rsidP="00ED6B6D">
      <w:pPr>
        <w:pStyle w:val="Paragraph"/>
        <w:spacing w:after="60"/>
        <w:ind w:firstLine="0"/>
      </w:pPr>
      <w:r w:rsidRPr="001908F9">
        <w:rPr>
          <w:lang w:val="it-CH"/>
        </w:rPr>
        <w:t xml:space="preserve">Aldasoro I., Gambacorta L., Giudici P. and Leach T. (2020b). </w:t>
      </w:r>
      <w:r w:rsidRPr="001908F9">
        <w:t xml:space="preserve">“The drivers of cyber risk”, </w:t>
      </w:r>
      <w:r w:rsidRPr="001908F9">
        <w:rPr>
          <w:i/>
        </w:rPr>
        <w:t>BIS Working Papers</w:t>
      </w:r>
      <w:r w:rsidRPr="001908F9">
        <w:t>, 865, May.</w:t>
      </w:r>
    </w:p>
    <w:p w14:paraId="61EF1B66" w14:textId="77777777" w:rsidR="000E1F23" w:rsidRPr="001908F9" w:rsidRDefault="000E1F23" w:rsidP="00ED6B6D">
      <w:pPr>
        <w:pStyle w:val="Paragraph"/>
        <w:spacing w:after="60"/>
        <w:ind w:firstLine="0"/>
      </w:pPr>
      <w:r w:rsidRPr="001908F9">
        <w:t>Basel Committee on Banking Supervision (BCBS) (2018). “Cyber-resilience: range of practices”, December.</w:t>
      </w:r>
    </w:p>
    <w:p w14:paraId="2CFB036E" w14:textId="77777777" w:rsidR="000E1F23" w:rsidRPr="001908F9" w:rsidRDefault="000E1F23" w:rsidP="00ED6B6D">
      <w:pPr>
        <w:pStyle w:val="Paragraph"/>
        <w:spacing w:after="60"/>
        <w:ind w:firstLine="0"/>
      </w:pPr>
      <w:r w:rsidRPr="001908F9">
        <w:t xml:space="preserve">Basel Committee on Banking Supervision (BCBS) (2018). “Sound Practices: implications of </w:t>
      </w:r>
      <w:proofErr w:type="spellStart"/>
      <w:r w:rsidRPr="001908F9">
        <w:t>fintech</w:t>
      </w:r>
      <w:proofErr w:type="spellEnd"/>
      <w:r w:rsidRPr="001908F9">
        <w:t xml:space="preserve"> developments for banks and bank supervisors”, February.</w:t>
      </w:r>
    </w:p>
    <w:p w14:paraId="34BF519A" w14:textId="77777777" w:rsidR="00184DB7" w:rsidRPr="001908F9" w:rsidRDefault="00184DB7" w:rsidP="00ED6B6D">
      <w:pPr>
        <w:pStyle w:val="Paragraph"/>
        <w:spacing w:after="60"/>
        <w:ind w:firstLine="0"/>
      </w:pPr>
      <w:r w:rsidRPr="001908F9">
        <w:t>Basel Committee on Banking Supervision (BCBS) (2020). “Principles for operational resilience”, August.</w:t>
      </w:r>
    </w:p>
    <w:p w14:paraId="2AAA5517" w14:textId="77777777" w:rsidR="008D79D8" w:rsidRPr="001908F9" w:rsidRDefault="008D79D8" w:rsidP="00ED6B6D">
      <w:pPr>
        <w:pStyle w:val="Paragraph"/>
        <w:spacing w:after="60"/>
        <w:ind w:firstLine="0"/>
      </w:pPr>
      <w:proofErr w:type="spellStart"/>
      <w:r w:rsidRPr="001908F9">
        <w:rPr>
          <w:lang w:val="de-CH"/>
        </w:rPr>
        <w:lastRenderedPageBreak/>
        <w:t>Biener</w:t>
      </w:r>
      <w:proofErr w:type="spellEnd"/>
      <w:r w:rsidRPr="001908F9">
        <w:rPr>
          <w:lang w:val="de-CH"/>
        </w:rPr>
        <w:t xml:space="preserve"> C., </w:t>
      </w:r>
      <w:proofErr w:type="spellStart"/>
      <w:r w:rsidRPr="001908F9">
        <w:rPr>
          <w:lang w:val="de-CH"/>
        </w:rPr>
        <w:t>Eling</w:t>
      </w:r>
      <w:proofErr w:type="spellEnd"/>
      <w:r w:rsidRPr="001908F9">
        <w:rPr>
          <w:lang w:val="de-CH"/>
        </w:rPr>
        <w:t xml:space="preserve"> M. </w:t>
      </w:r>
      <w:proofErr w:type="spellStart"/>
      <w:r w:rsidRPr="001908F9">
        <w:rPr>
          <w:lang w:val="de-CH"/>
        </w:rPr>
        <w:t>and</w:t>
      </w:r>
      <w:proofErr w:type="spellEnd"/>
      <w:r w:rsidRPr="001908F9">
        <w:rPr>
          <w:lang w:val="de-CH"/>
        </w:rPr>
        <w:t xml:space="preserve"> </w:t>
      </w:r>
      <w:proofErr w:type="spellStart"/>
      <w:r w:rsidRPr="001908F9">
        <w:rPr>
          <w:lang w:val="de-CH"/>
        </w:rPr>
        <w:t>Wirfs</w:t>
      </w:r>
      <w:proofErr w:type="spellEnd"/>
      <w:r w:rsidRPr="001908F9">
        <w:rPr>
          <w:lang w:val="de-CH"/>
        </w:rPr>
        <w:t xml:space="preserve"> J. (2015). </w:t>
      </w:r>
      <w:r w:rsidRPr="001908F9">
        <w:t xml:space="preserve">“Insurability of cyber risk: An empirical analysis”, </w:t>
      </w:r>
      <w:r w:rsidRPr="001908F9">
        <w:rPr>
          <w:i/>
        </w:rPr>
        <w:t>The Geneva Papers on Risk and Insurance-Issues and Practice</w:t>
      </w:r>
      <w:r w:rsidRPr="001908F9">
        <w:t>, 40(1): 131–58.</w:t>
      </w:r>
    </w:p>
    <w:p w14:paraId="638F2C85" w14:textId="77777777" w:rsidR="000E1F23" w:rsidRPr="001908F9" w:rsidRDefault="000E1F23" w:rsidP="00ED6B6D">
      <w:pPr>
        <w:pStyle w:val="Paragraph"/>
        <w:spacing w:after="60"/>
        <w:ind w:firstLine="0"/>
      </w:pPr>
      <w:r w:rsidRPr="001908F9">
        <w:t>Boer M. and Vazquez J. (2017). “</w:t>
      </w:r>
      <w:r w:rsidRPr="001908F9">
        <w:rPr>
          <w:i/>
        </w:rPr>
        <w:t>Cyber security and financial stability: how cyber-attacks could materially impact the global financial system”</w:t>
      </w:r>
      <w:r w:rsidRPr="001908F9">
        <w:t>, Institute of International Finance, working paper.</w:t>
      </w:r>
    </w:p>
    <w:p w14:paraId="06ABCA01" w14:textId="77777777" w:rsidR="000E1F23" w:rsidRPr="001908F9" w:rsidRDefault="000E1F23" w:rsidP="00ED6B6D">
      <w:pPr>
        <w:pStyle w:val="Paragraph"/>
        <w:spacing w:after="60"/>
        <w:ind w:firstLine="0"/>
      </w:pPr>
      <w:proofErr w:type="spellStart"/>
      <w:r w:rsidRPr="001908F9">
        <w:t>Bouveret</w:t>
      </w:r>
      <w:proofErr w:type="spellEnd"/>
      <w:r w:rsidRPr="001908F9">
        <w:t xml:space="preserve"> A. (2018). “Cyber risk for the financial sector: A framework for quantitative assessment”, </w:t>
      </w:r>
      <w:r w:rsidRPr="001908F9">
        <w:rPr>
          <w:i/>
        </w:rPr>
        <w:t>IMF Working Papers</w:t>
      </w:r>
      <w:r w:rsidRPr="001908F9">
        <w:t>, 18/143.</w:t>
      </w:r>
    </w:p>
    <w:p w14:paraId="07713A1F" w14:textId="77777777" w:rsidR="000E1F23" w:rsidRPr="001908F9" w:rsidRDefault="000E1F23" w:rsidP="00ED6B6D">
      <w:pPr>
        <w:pStyle w:val="Paragraph"/>
        <w:spacing w:after="60"/>
        <w:ind w:firstLine="0"/>
      </w:pPr>
      <w:r w:rsidRPr="001908F9">
        <w:t>Brenner J. (2017), “</w:t>
      </w:r>
      <w:hyperlink r:id="rId24" w:history="1">
        <w:r w:rsidRPr="001908F9">
          <w:rPr>
            <w:rStyle w:val="Hyperlink"/>
          </w:rPr>
          <w:t>Keeping America safe: toward more secure networks for critical sectors</w:t>
        </w:r>
      </w:hyperlink>
      <w:r w:rsidRPr="001908F9">
        <w:t xml:space="preserve">”, MIT </w:t>
      </w:r>
      <w:proofErr w:type="spellStart"/>
      <w:r w:rsidRPr="001908F9">
        <w:t>Center</w:t>
      </w:r>
      <w:proofErr w:type="spellEnd"/>
      <w:r w:rsidRPr="001908F9">
        <w:t xml:space="preserve"> for International Studies and MIT Internet Policy Research Initiative, March.</w:t>
      </w:r>
    </w:p>
    <w:p w14:paraId="1DCF5BC1" w14:textId="77777777" w:rsidR="000E1F23" w:rsidRPr="001908F9" w:rsidRDefault="000E1F23" w:rsidP="00ED6B6D">
      <w:pPr>
        <w:pStyle w:val="Paragraph"/>
        <w:spacing w:after="60"/>
        <w:ind w:firstLine="0"/>
      </w:pPr>
      <w:r w:rsidRPr="001908F9">
        <w:t>Butler M. (2017). “Effective global regulation in capital markets”, speech at the ICI Conference, London, 5 December.</w:t>
      </w:r>
    </w:p>
    <w:p w14:paraId="36FFC033" w14:textId="77777777" w:rsidR="000E1F23" w:rsidRPr="001908F9" w:rsidRDefault="000E1F23" w:rsidP="00ED6B6D">
      <w:pPr>
        <w:pStyle w:val="Paragraph"/>
        <w:spacing w:after="60"/>
        <w:ind w:firstLine="0"/>
      </w:pPr>
      <w:proofErr w:type="spellStart"/>
      <w:r w:rsidRPr="001908F9">
        <w:rPr>
          <w:lang w:val="es-ES"/>
        </w:rPr>
        <w:t>Carr</w:t>
      </w:r>
      <w:proofErr w:type="spellEnd"/>
      <w:r w:rsidRPr="001908F9">
        <w:rPr>
          <w:lang w:val="es-ES"/>
        </w:rPr>
        <w:t xml:space="preserve"> B., </w:t>
      </w:r>
      <w:proofErr w:type="spellStart"/>
      <w:r w:rsidRPr="001908F9">
        <w:rPr>
          <w:lang w:val="es-ES"/>
        </w:rPr>
        <w:t>Pujaz</w:t>
      </w:r>
      <w:r w:rsidRPr="001908F9">
        <w:rPr>
          <w:rFonts w:cs="Segoe UI"/>
          <w:lang w:val="es-ES"/>
        </w:rPr>
        <w:t>ó</w:t>
      </w:r>
      <w:r w:rsidRPr="001908F9">
        <w:rPr>
          <w:lang w:val="es-ES"/>
        </w:rPr>
        <w:t>n</w:t>
      </w:r>
      <w:proofErr w:type="spellEnd"/>
      <w:r w:rsidRPr="001908F9">
        <w:rPr>
          <w:lang w:val="es-ES"/>
        </w:rPr>
        <w:t xml:space="preserve"> D. and </w:t>
      </w:r>
      <w:proofErr w:type="spellStart"/>
      <w:r w:rsidRPr="001908F9">
        <w:rPr>
          <w:lang w:val="es-ES"/>
        </w:rPr>
        <w:t>Vazquez</w:t>
      </w:r>
      <w:proofErr w:type="spellEnd"/>
      <w:r w:rsidRPr="001908F9">
        <w:rPr>
          <w:lang w:val="es-ES"/>
        </w:rPr>
        <w:t xml:space="preserve"> J. (2019). </w:t>
      </w:r>
      <w:r w:rsidRPr="001908F9">
        <w:t>“</w:t>
      </w:r>
      <w:r w:rsidRPr="001908F9">
        <w:rPr>
          <w:i/>
        </w:rPr>
        <w:t>CSPs and criticality: potential treatments and solutions”,</w:t>
      </w:r>
      <w:r w:rsidRPr="001908F9">
        <w:t xml:space="preserve"> Institute of International Finance, working paper.</w:t>
      </w:r>
    </w:p>
    <w:p w14:paraId="0C7D2A24" w14:textId="77777777" w:rsidR="000E1F23" w:rsidRPr="001908F9" w:rsidRDefault="000E1F23" w:rsidP="00ED6B6D">
      <w:pPr>
        <w:pStyle w:val="Paragraph"/>
        <w:spacing w:after="60"/>
        <w:ind w:firstLine="0"/>
      </w:pPr>
      <w:r w:rsidRPr="001908F9">
        <w:t xml:space="preserve">Carstens A. (2019). “A handful of cyber – five key issues for international cooperation”, speech, 10 May. </w:t>
      </w:r>
    </w:p>
    <w:p w14:paraId="38C650BD" w14:textId="77777777" w:rsidR="000E1F23" w:rsidRPr="001908F9" w:rsidRDefault="000E1F23" w:rsidP="00ED6B6D">
      <w:pPr>
        <w:pStyle w:val="Paragraph"/>
        <w:spacing w:after="60"/>
        <w:ind w:firstLine="0"/>
        <w:rPr>
          <w:lang w:val="fr-CH"/>
        </w:rPr>
      </w:pPr>
      <w:r w:rsidRPr="001908F9">
        <w:rPr>
          <w:lang w:val="fr-CH"/>
        </w:rPr>
        <w:t>CERT-EU (2020). “COVID-19 Cyber Bulletin #9”, 6 May 2020.</w:t>
      </w:r>
    </w:p>
    <w:p w14:paraId="2B143C33" w14:textId="77777777" w:rsidR="000E1F23" w:rsidRPr="001908F9" w:rsidRDefault="000E1F23" w:rsidP="00ED6B6D">
      <w:pPr>
        <w:pStyle w:val="Paragraph"/>
        <w:spacing w:after="60"/>
        <w:ind w:firstLine="0"/>
      </w:pPr>
      <w:proofErr w:type="spellStart"/>
      <w:r w:rsidRPr="001908F9">
        <w:t>Chande</w:t>
      </w:r>
      <w:proofErr w:type="spellEnd"/>
      <w:r w:rsidRPr="001908F9">
        <w:t xml:space="preserve"> N. and </w:t>
      </w:r>
      <w:proofErr w:type="spellStart"/>
      <w:r w:rsidRPr="001908F9">
        <w:t>Yanchus</w:t>
      </w:r>
      <w:proofErr w:type="spellEnd"/>
      <w:r w:rsidRPr="001908F9">
        <w:t xml:space="preserve"> D., “The cyber incident landscape”, Bank of Canada, Staff Analytical Note, 32, 2019.</w:t>
      </w:r>
    </w:p>
    <w:p w14:paraId="42564CB0" w14:textId="77777777" w:rsidR="000E1F23" w:rsidRPr="001908F9" w:rsidRDefault="000E1F23" w:rsidP="00ED6B6D">
      <w:pPr>
        <w:pStyle w:val="Paragraph"/>
        <w:spacing w:after="60"/>
        <w:ind w:firstLine="0"/>
      </w:pPr>
      <w:r w:rsidRPr="001908F9">
        <w:t xml:space="preserve">Clarke A. and Hancock J. (2013). “Payment system design and participant operational disruptions”, </w:t>
      </w:r>
      <w:r w:rsidRPr="001908F9">
        <w:rPr>
          <w:i/>
        </w:rPr>
        <w:t>Journal of Financial Market Infrastructures</w:t>
      </w:r>
      <w:r w:rsidRPr="001908F9">
        <w:t xml:space="preserve">, 2(2). </w:t>
      </w:r>
    </w:p>
    <w:p w14:paraId="03C8E5D1" w14:textId="77777777" w:rsidR="000E1F23" w:rsidRPr="001908F9" w:rsidRDefault="000E1F23" w:rsidP="00ED6B6D">
      <w:pPr>
        <w:pStyle w:val="Paragraph"/>
        <w:spacing w:after="60"/>
        <w:ind w:firstLine="0"/>
      </w:pPr>
      <w:proofErr w:type="spellStart"/>
      <w:r w:rsidRPr="001908F9">
        <w:t>Cœuré</w:t>
      </w:r>
      <w:proofErr w:type="spellEnd"/>
      <w:r w:rsidRPr="001908F9">
        <w:t xml:space="preserve"> B. (2019). “Cyber resilience as a global public good”, speech, 10 May 2019.</w:t>
      </w:r>
    </w:p>
    <w:p w14:paraId="4D25294A" w14:textId="77777777" w:rsidR="000E1F23" w:rsidRPr="001908F9" w:rsidRDefault="000E1F23" w:rsidP="00ED6B6D">
      <w:pPr>
        <w:pStyle w:val="Paragraph"/>
        <w:spacing w:after="60"/>
        <w:ind w:firstLine="0"/>
      </w:pPr>
      <w:r w:rsidRPr="001908F9">
        <w:t>Committee on Payments and Market Infrastructure (CPMI) (2020). “Handling stress events during a pandemic”, 23 July.</w:t>
      </w:r>
    </w:p>
    <w:p w14:paraId="25ADD5B9" w14:textId="77777777" w:rsidR="00184DB7" w:rsidRPr="001908F9" w:rsidRDefault="00184DB7" w:rsidP="00ED6B6D">
      <w:pPr>
        <w:pStyle w:val="Paragraph"/>
        <w:spacing w:after="60"/>
        <w:ind w:firstLine="0"/>
      </w:pPr>
      <w:r w:rsidRPr="001908F9">
        <w:t>Committee on Payments and Market Infrastructure (CPMI) (2018). “Reducing the risk of wholesale payments fraud related to endpoint security”, May.</w:t>
      </w:r>
    </w:p>
    <w:p w14:paraId="18ECEBE2" w14:textId="77777777" w:rsidR="00184DB7" w:rsidRPr="001908F9" w:rsidRDefault="00184DB7" w:rsidP="00ED6B6D">
      <w:pPr>
        <w:pStyle w:val="Paragraph"/>
        <w:spacing w:after="60"/>
        <w:ind w:firstLine="0"/>
      </w:pPr>
      <w:r w:rsidRPr="001908F9">
        <w:t>Committee on Payments and Market Infrastructure (CPMI) (2019). “Reducing the risk of wholesale payments fraud related to endpoint security: a toolkit”, October.</w:t>
      </w:r>
    </w:p>
    <w:p w14:paraId="5421F020" w14:textId="77777777" w:rsidR="000E1F23" w:rsidRPr="001908F9" w:rsidRDefault="000E1F23" w:rsidP="00ED6B6D">
      <w:pPr>
        <w:pStyle w:val="Paragraph"/>
        <w:spacing w:after="60"/>
        <w:ind w:firstLine="0"/>
      </w:pPr>
      <w:r w:rsidRPr="001908F9">
        <w:t>Committee on Payments and Market Infrastructures (CPMI) and Board of the International Organization of Securities Commissions (IOSCO). (2016). “Guidance on cyber resilience for financial market infrastructures”, June.</w:t>
      </w:r>
    </w:p>
    <w:p w14:paraId="3505F037" w14:textId="77777777" w:rsidR="000E1F23" w:rsidRPr="001908F9" w:rsidRDefault="000E1F23" w:rsidP="00ED6B6D">
      <w:pPr>
        <w:pStyle w:val="Paragraph"/>
        <w:spacing w:after="60"/>
        <w:ind w:firstLine="0"/>
      </w:pPr>
      <w:r w:rsidRPr="001908F9">
        <w:t>Crisanto J.C. and Prenio J. (2020). “Financial crime in times of Covid-19 – AML and cyber resilience measures”, FSI Brief, no 7.</w:t>
      </w:r>
    </w:p>
    <w:p w14:paraId="3FDD39BC" w14:textId="77777777" w:rsidR="000E1F23" w:rsidRPr="001908F9" w:rsidRDefault="000E1F23" w:rsidP="00ED6B6D">
      <w:pPr>
        <w:pStyle w:val="Paragraph"/>
        <w:spacing w:after="60"/>
        <w:ind w:firstLine="0"/>
      </w:pPr>
      <w:r w:rsidRPr="001908F9">
        <w:rPr>
          <w:lang w:val="de-CH"/>
        </w:rPr>
        <w:t xml:space="preserve">Curti F., Gerlach J., </w:t>
      </w:r>
      <w:proofErr w:type="spellStart"/>
      <w:r w:rsidRPr="001908F9">
        <w:rPr>
          <w:lang w:val="de-CH"/>
        </w:rPr>
        <w:t>Kazinnik</w:t>
      </w:r>
      <w:proofErr w:type="spellEnd"/>
      <w:r w:rsidRPr="001908F9">
        <w:rPr>
          <w:lang w:val="de-CH"/>
        </w:rPr>
        <w:t xml:space="preserve"> S., Lee M. </w:t>
      </w:r>
      <w:proofErr w:type="spellStart"/>
      <w:r w:rsidRPr="001908F9">
        <w:rPr>
          <w:lang w:val="de-CH"/>
        </w:rPr>
        <w:t>and</w:t>
      </w:r>
      <w:proofErr w:type="spellEnd"/>
      <w:r w:rsidRPr="001908F9">
        <w:rPr>
          <w:lang w:val="de-CH"/>
        </w:rPr>
        <w:t xml:space="preserve"> </w:t>
      </w:r>
      <w:proofErr w:type="spellStart"/>
      <w:r w:rsidRPr="001908F9">
        <w:rPr>
          <w:lang w:val="de-CH"/>
        </w:rPr>
        <w:t>Mihov</w:t>
      </w:r>
      <w:proofErr w:type="spellEnd"/>
      <w:r w:rsidRPr="001908F9">
        <w:rPr>
          <w:lang w:val="de-CH"/>
        </w:rPr>
        <w:t xml:space="preserve"> A. (2019). </w:t>
      </w:r>
      <w:r w:rsidRPr="001908F9">
        <w:t>“Cyber risk definition and classification for financial risk management”, Federal Reserve Bank of St Louis, mimeo.</w:t>
      </w:r>
    </w:p>
    <w:p w14:paraId="24FCAD47" w14:textId="77777777" w:rsidR="000E1F23" w:rsidRPr="001908F9" w:rsidRDefault="000E1F23" w:rsidP="00ED6B6D">
      <w:pPr>
        <w:pStyle w:val="Paragraph"/>
        <w:spacing w:after="60"/>
        <w:ind w:firstLine="0"/>
      </w:pPr>
      <w:proofErr w:type="spellStart"/>
      <w:r w:rsidRPr="001908F9">
        <w:t>Danielsson</w:t>
      </w:r>
      <w:proofErr w:type="spellEnd"/>
      <w:r w:rsidRPr="001908F9">
        <w:t xml:space="preserve"> J. and </w:t>
      </w:r>
      <w:proofErr w:type="spellStart"/>
      <w:r w:rsidRPr="001908F9">
        <w:t>Macrae</w:t>
      </w:r>
      <w:proofErr w:type="spellEnd"/>
      <w:r w:rsidRPr="001908F9">
        <w:t xml:space="preserve"> R. (2019). “Systemic consequences of outsourcing to the cloud”, </w:t>
      </w:r>
      <w:proofErr w:type="spellStart"/>
      <w:r w:rsidRPr="001908F9">
        <w:t>VoxEU</w:t>
      </w:r>
      <w:proofErr w:type="spellEnd"/>
      <w:r w:rsidRPr="001908F9">
        <w:t xml:space="preserve">, 2 December. </w:t>
      </w:r>
    </w:p>
    <w:p w14:paraId="0C903751" w14:textId="77777777" w:rsidR="000E1F23" w:rsidRPr="001908F9" w:rsidRDefault="000E1F23" w:rsidP="00ED6B6D">
      <w:pPr>
        <w:pStyle w:val="Paragraph"/>
        <w:spacing w:after="60"/>
        <w:ind w:firstLine="0"/>
      </w:pPr>
      <w:r w:rsidRPr="001908F9">
        <w:rPr>
          <w:lang w:val="de-CH"/>
        </w:rPr>
        <w:t xml:space="preserve">Dreyer P., Jones T., Klima K., </w:t>
      </w:r>
      <w:proofErr w:type="spellStart"/>
      <w:r w:rsidRPr="001908F9">
        <w:rPr>
          <w:lang w:val="de-CH"/>
        </w:rPr>
        <w:t>Oberholtzer</w:t>
      </w:r>
      <w:proofErr w:type="spellEnd"/>
      <w:r w:rsidRPr="001908F9">
        <w:rPr>
          <w:lang w:val="de-CH"/>
        </w:rPr>
        <w:t xml:space="preserve"> J., Strong A., </w:t>
      </w:r>
      <w:proofErr w:type="spellStart"/>
      <w:r w:rsidRPr="001908F9">
        <w:rPr>
          <w:lang w:val="de-CH"/>
        </w:rPr>
        <w:t>Welburn</w:t>
      </w:r>
      <w:proofErr w:type="spellEnd"/>
      <w:r w:rsidRPr="001908F9">
        <w:rPr>
          <w:lang w:val="de-CH"/>
        </w:rPr>
        <w:t xml:space="preserve"> J. </w:t>
      </w:r>
      <w:proofErr w:type="spellStart"/>
      <w:r w:rsidRPr="001908F9">
        <w:rPr>
          <w:lang w:val="de-CH"/>
        </w:rPr>
        <w:t>and</w:t>
      </w:r>
      <w:proofErr w:type="spellEnd"/>
      <w:r w:rsidRPr="001908F9">
        <w:rPr>
          <w:lang w:val="de-CH"/>
        </w:rPr>
        <w:t xml:space="preserve"> </w:t>
      </w:r>
      <w:proofErr w:type="spellStart"/>
      <w:r w:rsidRPr="001908F9">
        <w:rPr>
          <w:lang w:val="de-CH"/>
        </w:rPr>
        <w:t>Winkelman</w:t>
      </w:r>
      <w:proofErr w:type="spellEnd"/>
      <w:r w:rsidRPr="001908F9">
        <w:rPr>
          <w:lang w:val="de-CH"/>
        </w:rPr>
        <w:t xml:space="preserve"> Z. (2018). </w:t>
      </w:r>
      <w:r w:rsidRPr="001908F9">
        <w:t xml:space="preserve">“Estimating the global cost of cyber risk”, Research Report, no RR-2299-WFHF, Rand Corporation. </w:t>
      </w:r>
    </w:p>
    <w:p w14:paraId="13A6CC96" w14:textId="77777777" w:rsidR="000E1F23" w:rsidRPr="001908F9" w:rsidRDefault="000E1F23" w:rsidP="00ED6B6D">
      <w:pPr>
        <w:pStyle w:val="Paragraph"/>
        <w:spacing w:after="60"/>
        <w:ind w:firstLine="0"/>
      </w:pPr>
      <w:proofErr w:type="spellStart"/>
      <w:r w:rsidRPr="001908F9">
        <w:t>Duffie</w:t>
      </w:r>
      <w:proofErr w:type="spellEnd"/>
      <w:r w:rsidRPr="001908F9">
        <w:t xml:space="preserve"> D. and Younger J. (2019). “Cyber runs”, </w:t>
      </w:r>
      <w:r w:rsidRPr="001908F9">
        <w:rPr>
          <w:i/>
        </w:rPr>
        <w:t xml:space="preserve">Hutchins </w:t>
      </w:r>
      <w:proofErr w:type="spellStart"/>
      <w:r w:rsidRPr="001908F9">
        <w:rPr>
          <w:i/>
        </w:rPr>
        <w:t>Center</w:t>
      </w:r>
      <w:proofErr w:type="spellEnd"/>
      <w:r w:rsidRPr="001908F9">
        <w:rPr>
          <w:i/>
        </w:rPr>
        <w:t xml:space="preserve"> Working Papers</w:t>
      </w:r>
      <w:r w:rsidRPr="001908F9">
        <w:t xml:space="preserve">, 51, Brookings Institution, 2019. </w:t>
      </w:r>
    </w:p>
    <w:p w14:paraId="010345C7" w14:textId="77777777" w:rsidR="000E1F23" w:rsidRPr="001908F9" w:rsidRDefault="000E1F23" w:rsidP="00ED6B6D">
      <w:pPr>
        <w:pStyle w:val="Paragraph"/>
        <w:spacing w:after="60"/>
        <w:ind w:firstLine="0"/>
      </w:pPr>
      <w:r w:rsidRPr="001908F9">
        <w:rPr>
          <w:lang w:val="de-CH"/>
        </w:rPr>
        <w:t xml:space="preserve">Eisenbach T., </w:t>
      </w:r>
      <w:proofErr w:type="spellStart"/>
      <w:r w:rsidRPr="001908F9">
        <w:rPr>
          <w:lang w:val="de-CH"/>
        </w:rPr>
        <w:t>Kovner</w:t>
      </w:r>
      <w:proofErr w:type="spellEnd"/>
      <w:r w:rsidRPr="001908F9">
        <w:rPr>
          <w:lang w:val="de-CH"/>
        </w:rPr>
        <w:t xml:space="preserve"> A. </w:t>
      </w:r>
      <w:proofErr w:type="spellStart"/>
      <w:r w:rsidRPr="001908F9">
        <w:rPr>
          <w:lang w:val="de-CH"/>
        </w:rPr>
        <w:t>and</w:t>
      </w:r>
      <w:proofErr w:type="spellEnd"/>
      <w:r w:rsidRPr="001908F9">
        <w:rPr>
          <w:lang w:val="de-CH"/>
        </w:rPr>
        <w:t xml:space="preserve"> Lee M. (2019). </w:t>
      </w:r>
      <w:r w:rsidRPr="001908F9">
        <w:t xml:space="preserve">“Cyber risk and the U.S. financial system: a pre-mortem analysis”, Federal Reserve Bank of New York, December 2019. </w:t>
      </w:r>
    </w:p>
    <w:p w14:paraId="75988801" w14:textId="77777777" w:rsidR="000E1F23" w:rsidRPr="001908F9" w:rsidRDefault="000E1F23" w:rsidP="00ED6B6D">
      <w:pPr>
        <w:pStyle w:val="Paragraph"/>
        <w:spacing w:after="60"/>
        <w:ind w:firstLine="0"/>
      </w:pPr>
      <w:r w:rsidRPr="001908F9">
        <w:t>European Systemic Risk Board (ESRB) (2020). “Systemic cyber risk”, February 2020.</w:t>
      </w:r>
    </w:p>
    <w:p w14:paraId="77A68EB7" w14:textId="77777777" w:rsidR="000E1F23" w:rsidRPr="001908F9" w:rsidRDefault="000E1F23" w:rsidP="00ED6B6D">
      <w:pPr>
        <w:pStyle w:val="Paragraph"/>
        <w:spacing w:after="60"/>
        <w:ind w:firstLine="0"/>
      </w:pPr>
      <w:r w:rsidRPr="001908F9">
        <w:t xml:space="preserve">Financial Services Information Sharing and Analysis </w:t>
      </w:r>
      <w:proofErr w:type="spellStart"/>
      <w:r w:rsidRPr="001908F9">
        <w:t>Center</w:t>
      </w:r>
      <w:proofErr w:type="spellEnd"/>
      <w:r w:rsidRPr="001908F9">
        <w:t xml:space="preserve"> (FS-ISAC) (2020). “COVID-19 effects on cybersecurity survey”, July.</w:t>
      </w:r>
    </w:p>
    <w:p w14:paraId="4BBDEDB4" w14:textId="77777777" w:rsidR="000E1F23" w:rsidRPr="001908F9" w:rsidRDefault="000E1F23" w:rsidP="00ED6B6D">
      <w:pPr>
        <w:pStyle w:val="Paragraph"/>
        <w:spacing w:after="60"/>
        <w:ind w:firstLine="0"/>
      </w:pPr>
      <w:r w:rsidRPr="001908F9">
        <w:lastRenderedPageBreak/>
        <w:t>Financial Stability Board (FSB) (2017), “Stocktake of publicly released cybersecurity regulations, guidance and supervisory practices”, October.</w:t>
      </w:r>
    </w:p>
    <w:p w14:paraId="5054E988" w14:textId="77777777" w:rsidR="000E1F23" w:rsidRPr="001908F9" w:rsidRDefault="000E1F23" w:rsidP="00ED6B6D">
      <w:pPr>
        <w:pStyle w:val="Paragraph"/>
        <w:spacing w:after="60"/>
        <w:ind w:firstLine="0"/>
      </w:pPr>
      <w:r w:rsidRPr="001908F9">
        <w:t>Financial Stability Board (FSB) (2019). “Third-party dependencies in cloud services: Considerations on financial stability implications”, December.</w:t>
      </w:r>
    </w:p>
    <w:p w14:paraId="648FE9C2" w14:textId="77777777" w:rsidR="00184DB7" w:rsidRPr="001908F9" w:rsidRDefault="00184DB7" w:rsidP="00ED6B6D">
      <w:pPr>
        <w:pStyle w:val="Paragraph"/>
        <w:spacing w:after="60"/>
        <w:ind w:firstLine="0"/>
      </w:pPr>
      <w:r w:rsidRPr="001908F9">
        <w:t xml:space="preserve">Financial Stability Board (FSB) (2020). “Effective practices for cyber incident response and recovery”, April. </w:t>
      </w:r>
    </w:p>
    <w:p w14:paraId="0007B223" w14:textId="77777777" w:rsidR="00184DB7" w:rsidRPr="001908F9" w:rsidRDefault="00184DB7" w:rsidP="00ED6B6D">
      <w:pPr>
        <w:pStyle w:val="Paragraph"/>
        <w:spacing w:after="60"/>
        <w:ind w:firstLine="0"/>
      </w:pPr>
      <w:r w:rsidRPr="001908F9">
        <w:t xml:space="preserve">Group of seven (G7) (2018). </w:t>
      </w:r>
      <w:r w:rsidRPr="001908F9">
        <w:rPr>
          <w:i/>
        </w:rPr>
        <w:t>Fundamental elements for third party cyber risk management in the financial sector</w:t>
      </w:r>
      <w:r w:rsidRPr="001908F9">
        <w:t>, October.</w:t>
      </w:r>
    </w:p>
    <w:p w14:paraId="4249A974" w14:textId="77777777" w:rsidR="000E1F23" w:rsidRPr="001908F9" w:rsidRDefault="000E1F23" w:rsidP="00ED6B6D">
      <w:pPr>
        <w:pStyle w:val="Paragraph"/>
        <w:spacing w:after="60"/>
        <w:ind w:firstLine="0"/>
      </w:pPr>
      <w:r w:rsidRPr="001908F9">
        <w:t>International Association of Insurance Supervisors (IAIS) (2016). “Issues paper on cyber risk to the insurance sector”, August.</w:t>
      </w:r>
    </w:p>
    <w:p w14:paraId="1EF69E96" w14:textId="77777777" w:rsidR="000E1F23" w:rsidRPr="001908F9" w:rsidRDefault="000E1F23" w:rsidP="00ED6B6D">
      <w:pPr>
        <w:pStyle w:val="Paragraph"/>
        <w:spacing w:after="60"/>
        <w:ind w:firstLine="0"/>
      </w:pPr>
      <w:r w:rsidRPr="001908F9">
        <w:rPr>
          <w:rFonts w:ascii="Arial" w:hAnsi="Arial" w:cs="Arial"/>
          <w:color w:val="222222"/>
          <w:shd w:val="clear" w:color="auto" w:fill="FFFFFF"/>
        </w:rPr>
        <w:t xml:space="preserve">International Organization for Standardization/ International </w:t>
      </w:r>
      <w:proofErr w:type="spellStart"/>
      <w:r w:rsidRPr="001908F9">
        <w:rPr>
          <w:rFonts w:ascii="Arial" w:hAnsi="Arial" w:cs="Arial"/>
          <w:color w:val="222222"/>
          <w:shd w:val="clear" w:color="auto" w:fill="FFFFFF"/>
        </w:rPr>
        <w:t>Electrotechnical</w:t>
      </w:r>
      <w:proofErr w:type="spellEnd"/>
      <w:r w:rsidRPr="001908F9">
        <w:rPr>
          <w:rFonts w:ascii="Arial" w:hAnsi="Arial" w:cs="Arial"/>
          <w:color w:val="222222"/>
          <w:shd w:val="clear" w:color="auto" w:fill="FFFFFF"/>
        </w:rPr>
        <w:t xml:space="preserve"> Commission</w:t>
      </w:r>
      <w:r w:rsidRPr="001908F9">
        <w:t xml:space="preserve"> (ISO/IEC) (2018). “</w:t>
      </w:r>
      <w:hyperlink r:id="rId25" w:history="1">
        <w:r w:rsidRPr="001908F9">
          <w:rPr>
            <w:rStyle w:val="Hyperlink"/>
          </w:rPr>
          <w:t>Information technology - Security techniques - Information security management systems</w:t>
        </w:r>
      </w:hyperlink>
      <w:r w:rsidRPr="001908F9">
        <w:t>”, February.</w:t>
      </w:r>
    </w:p>
    <w:p w14:paraId="762EA0A1" w14:textId="77777777" w:rsidR="000E1F23" w:rsidRPr="001908F9" w:rsidRDefault="000E1F23" w:rsidP="00ED6B6D">
      <w:pPr>
        <w:pStyle w:val="Paragraph"/>
        <w:spacing w:after="60"/>
        <w:ind w:firstLine="0"/>
      </w:pPr>
      <w:r w:rsidRPr="001908F9">
        <w:t xml:space="preserve">Kopp E. and </w:t>
      </w:r>
      <w:proofErr w:type="spellStart"/>
      <w:r w:rsidRPr="001908F9">
        <w:t>Kaffenberger</w:t>
      </w:r>
      <w:proofErr w:type="spellEnd"/>
      <w:r w:rsidRPr="001908F9">
        <w:t xml:space="preserve"> L. (2019). “Cyber Risk Scenarios, the Financial System, and Systemic Risk Assessment”, Carnegie Endowment Cyber Policy Initiative Working Paper, 4, September.</w:t>
      </w:r>
    </w:p>
    <w:p w14:paraId="75D52CE8" w14:textId="77777777" w:rsidR="000E1F23" w:rsidRPr="001908F9" w:rsidRDefault="000E1F23" w:rsidP="00ED6B6D">
      <w:pPr>
        <w:pStyle w:val="Paragraph"/>
        <w:spacing w:after="60"/>
        <w:ind w:firstLine="0"/>
      </w:pPr>
      <w:r w:rsidRPr="001908F9">
        <w:rPr>
          <w:lang w:val="de-CH"/>
        </w:rPr>
        <w:t xml:space="preserve">Kopp E., Kaffenberger L. </w:t>
      </w:r>
      <w:proofErr w:type="spellStart"/>
      <w:r w:rsidRPr="001908F9">
        <w:rPr>
          <w:lang w:val="de-CH"/>
        </w:rPr>
        <w:t>and</w:t>
      </w:r>
      <w:proofErr w:type="spellEnd"/>
      <w:r w:rsidRPr="001908F9">
        <w:rPr>
          <w:lang w:val="de-CH"/>
        </w:rPr>
        <w:t xml:space="preserve"> Wilson C. (2017). </w:t>
      </w:r>
      <w:r w:rsidRPr="001908F9">
        <w:t>“Cyber risk, market failures, and financial stability</w:t>
      </w:r>
      <w:r w:rsidRPr="001908F9">
        <w:rPr>
          <w:i/>
        </w:rPr>
        <w:t>”, IMF Working Papers</w:t>
      </w:r>
      <w:r w:rsidRPr="001908F9">
        <w:t>, 17/185.</w:t>
      </w:r>
    </w:p>
    <w:p w14:paraId="0E28BA31" w14:textId="77777777" w:rsidR="00184DB7" w:rsidRPr="001908F9" w:rsidRDefault="00184DB7" w:rsidP="00ED6B6D">
      <w:pPr>
        <w:pStyle w:val="Paragraph"/>
        <w:spacing w:after="60"/>
        <w:ind w:firstLine="0"/>
      </w:pPr>
      <w:proofErr w:type="spellStart"/>
      <w:r w:rsidRPr="001908F9">
        <w:t>Mester</w:t>
      </w:r>
      <w:proofErr w:type="spellEnd"/>
      <w:r w:rsidRPr="001908F9">
        <w:t xml:space="preserve"> L. (2019). “Perspectives on Cybersecurity, the Financial System and the Federal Reserve”, speech, April.</w:t>
      </w:r>
    </w:p>
    <w:p w14:paraId="4B7BB1A8" w14:textId="77777777" w:rsidR="000E1F23" w:rsidRPr="001908F9" w:rsidRDefault="000E1F23" w:rsidP="00ED6B6D">
      <w:pPr>
        <w:pStyle w:val="Paragraph"/>
        <w:spacing w:after="60"/>
        <w:ind w:firstLine="0"/>
      </w:pPr>
      <w:r w:rsidRPr="001908F9">
        <w:t>McAfee (2020). “Cloud adoption and risk report”, May.</w:t>
      </w:r>
    </w:p>
    <w:p w14:paraId="635B5B49" w14:textId="77777777" w:rsidR="000E1F23" w:rsidRPr="001908F9" w:rsidRDefault="000E1F23" w:rsidP="00ED6B6D">
      <w:pPr>
        <w:pStyle w:val="Paragraph"/>
        <w:spacing w:after="60"/>
        <w:ind w:firstLine="0"/>
      </w:pPr>
      <w:r w:rsidRPr="001908F9">
        <w:t xml:space="preserve">Monetary Authority of Singapore (MAS) (2018). </w:t>
      </w:r>
      <w:r w:rsidRPr="001908F9">
        <w:rPr>
          <w:i/>
        </w:rPr>
        <w:t>Financial stability review</w:t>
      </w:r>
      <w:r w:rsidRPr="001908F9">
        <w:t>, November.</w:t>
      </w:r>
    </w:p>
    <w:p w14:paraId="42C9F6E1" w14:textId="77777777" w:rsidR="000E1F23" w:rsidRPr="001908F9" w:rsidRDefault="000E1F23" w:rsidP="00ED6B6D">
      <w:pPr>
        <w:pStyle w:val="Paragraph"/>
        <w:spacing w:after="60"/>
        <w:ind w:firstLine="0"/>
      </w:pPr>
      <w:r w:rsidRPr="001908F9">
        <w:t xml:space="preserve">Monetary Authority of Singapore (MAS) (2019). </w:t>
      </w:r>
      <w:r w:rsidRPr="001908F9">
        <w:rPr>
          <w:i/>
        </w:rPr>
        <w:t>Financial Stability Review</w:t>
      </w:r>
      <w:r w:rsidRPr="001908F9">
        <w:t>, November.</w:t>
      </w:r>
    </w:p>
    <w:p w14:paraId="5910FD23" w14:textId="77777777" w:rsidR="000E1F23" w:rsidRPr="001908F9" w:rsidRDefault="000E1F23" w:rsidP="00ED6B6D">
      <w:pPr>
        <w:pStyle w:val="Paragraph"/>
        <w:spacing w:after="60"/>
        <w:ind w:firstLine="0"/>
      </w:pPr>
      <w:proofErr w:type="spellStart"/>
      <w:r w:rsidRPr="001908F9">
        <w:t>Romanosky</w:t>
      </w:r>
      <w:proofErr w:type="spellEnd"/>
      <w:r w:rsidRPr="001908F9">
        <w:t xml:space="preserve"> S. (2016). “Examining the costs and causes of cyber incidents”, </w:t>
      </w:r>
      <w:r w:rsidRPr="001908F9">
        <w:rPr>
          <w:i/>
        </w:rPr>
        <w:t>Journal of Cybersecurity</w:t>
      </w:r>
      <w:r w:rsidRPr="001908F9">
        <w:t xml:space="preserve">, </w:t>
      </w:r>
      <w:r w:rsidRPr="001908F9">
        <w:rPr>
          <w:rFonts w:eastAsia="Calibri"/>
        </w:rPr>
        <w:t>2</w:t>
      </w:r>
      <w:r w:rsidRPr="001908F9">
        <w:t>: 121–13</w:t>
      </w:r>
    </w:p>
    <w:p w14:paraId="7BCC1B07" w14:textId="77777777" w:rsidR="000E1F23" w:rsidRPr="001908F9" w:rsidRDefault="000E1F23" w:rsidP="00ED6B6D">
      <w:pPr>
        <w:pStyle w:val="Paragraph"/>
        <w:spacing w:after="60"/>
        <w:ind w:firstLine="0"/>
      </w:pPr>
      <w:r w:rsidRPr="001908F9">
        <w:t>Snow (2020), “</w:t>
      </w:r>
      <w:hyperlink r:id="rId26" w:history="1">
        <w:r w:rsidRPr="001908F9">
          <w:rPr>
            <w:rStyle w:val="Hyperlink"/>
          </w:rPr>
          <w:t xml:space="preserve">How the </w:t>
        </w:r>
        <w:r w:rsidRPr="001908F9">
          <w:rPr>
            <w:rStyle w:val="Hyperlink"/>
            <w:rFonts w:hint="eastAsia"/>
          </w:rPr>
          <w:t>‘</w:t>
        </w:r>
        <w:r w:rsidRPr="001908F9">
          <w:rPr>
            <w:rStyle w:val="Hyperlink"/>
          </w:rPr>
          <w:t>new normal</w:t>
        </w:r>
        <w:r w:rsidRPr="001908F9">
          <w:rPr>
            <w:rStyle w:val="Hyperlink"/>
            <w:rFonts w:hint="eastAsia"/>
          </w:rPr>
          <w:t>’</w:t>
        </w:r>
        <w:r w:rsidRPr="001908F9">
          <w:rPr>
            <w:rStyle w:val="Hyperlink"/>
          </w:rPr>
          <w:t xml:space="preserve"> is changing cloud usage and strategy</w:t>
        </w:r>
      </w:hyperlink>
      <w:r w:rsidRPr="001908F9">
        <w:t>”, 16 June.</w:t>
      </w:r>
    </w:p>
    <w:p w14:paraId="6035CA49" w14:textId="77777777" w:rsidR="000E1F23" w:rsidRPr="001908F9" w:rsidRDefault="000E1F23" w:rsidP="00ED6B6D">
      <w:pPr>
        <w:pStyle w:val="Paragraph"/>
        <w:spacing w:after="60"/>
        <w:ind w:firstLine="0"/>
      </w:pPr>
      <w:r w:rsidRPr="001908F9">
        <w:t>SWIFT (2019). “Three years on from Bangladesh - Tackling the adversaries”, April.</w:t>
      </w:r>
    </w:p>
    <w:p w14:paraId="0A9E3E58" w14:textId="77777777" w:rsidR="000E1F23" w:rsidRPr="001908F9" w:rsidRDefault="000E1F23" w:rsidP="00ED6B6D">
      <w:pPr>
        <w:pStyle w:val="Paragraph"/>
        <w:spacing w:after="60"/>
        <w:ind w:firstLine="0"/>
      </w:pPr>
      <w:r w:rsidRPr="001908F9">
        <w:t>US National Institute of Standards and Technology (NIST) (2018). “</w:t>
      </w:r>
      <w:hyperlink r:id="rId27" w:history="1">
        <w:r w:rsidRPr="001908F9">
          <w:rPr>
            <w:rStyle w:val="Hyperlink"/>
          </w:rPr>
          <w:t>Framework for improving critical infrastructure cybersecurity</w:t>
        </w:r>
      </w:hyperlink>
      <w:r w:rsidRPr="001908F9">
        <w:t>”, 16 April.</w:t>
      </w:r>
    </w:p>
    <w:p w14:paraId="73CA780D" w14:textId="77777777" w:rsidR="000E1F23" w:rsidRPr="001908F9" w:rsidRDefault="000E1F23" w:rsidP="00ED6B6D">
      <w:pPr>
        <w:pStyle w:val="Paragraph"/>
        <w:spacing w:after="60"/>
        <w:ind w:firstLine="0"/>
        <w:rPr>
          <w:lang w:val="en-US"/>
        </w:rPr>
      </w:pPr>
      <w:r w:rsidRPr="001908F9">
        <w:rPr>
          <w:lang w:val="en-US"/>
        </w:rPr>
        <w:t>US Treasury (2019). “Treasury Sanctions North Korean State-Sponsored Malicious Cyber Groups”, September.</w:t>
      </w:r>
    </w:p>
    <w:p w14:paraId="396C92DE" w14:textId="77777777" w:rsidR="000E1F23" w:rsidRPr="001908F9" w:rsidRDefault="000E1F23" w:rsidP="00ED6B6D">
      <w:pPr>
        <w:pStyle w:val="Paragraph"/>
        <w:spacing w:after="60"/>
        <w:ind w:firstLine="0"/>
      </w:pPr>
      <w:proofErr w:type="spellStart"/>
      <w:r w:rsidRPr="001908F9">
        <w:t>Welburn</w:t>
      </w:r>
      <w:proofErr w:type="spellEnd"/>
      <w:r w:rsidRPr="001908F9">
        <w:t xml:space="preserve"> J. and Strong A. (2019). “Systemic cyber risk and aggregate impacts”, Working Paper, WR-1311, RAND Corporation.</w:t>
      </w:r>
    </w:p>
    <w:p w14:paraId="154B2A24" w14:textId="77777777" w:rsidR="000E1F23" w:rsidRPr="001908F9" w:rsidRDefault="000E1F23" w:rsidP="00ED6B6D">
      <w:pPr>
        <w:pStyle w:val="Paragraph"/>
        <w:spacing w:after="60"/>
        <w:ind w:firstLine="0"/>
      </w:pPr>
      <w:proofErr w:type="spellStart"/>
      <w:r w:rsidRPr="001908F9">
        <w:t>Zakrzewski</w:t>
      </w:r>
      <w:proofErr w:type="spellEnd"/>
      <w:r w:rsidRPr="001908F9">
        <w:t xml:space="preserve"> A., Tang T., Appel G., </w:t>
      </w:r>
      <w:proofErr w:type="spellStart"/>
      <w:r w:rsidRPr="001908F9">
        <w:t>Fages</w:t>
      </w:r>
      <w:proofErr w:type="spellEnd"/>
      <w:r w:rsidRPr="001908F9">
        <w:t xml:space="preserve"> R., </w:t>
      </w:r>
      <w:proofErr w:type="spellStart"/>
      <w:r w:rsidRPr="001908F9">
        <w:t>Hardie</w:t>
      </w:r>
      <w:proofErr w:type="spellEnd"/>
      <w:r w:rsidRPr="001908F9">
        <w:t xml:space="preserve"> A., Hildebrandt N., </w:t>
      </w:r>
      <w:proofErr w:type="spellStart"/>
      <w:r w:rsidRPr="001908F9">
        <w:t>Kahlich</w:t>
      </w:r>
      <w:proofErr w:type="spellEnd"/>
      <w:r w:rsidRPr="001908F9">
        <w:t xml:space="preserve"> M., Mende M., </w:t>
      </w:r>
      <w:proofErr w:type="spellStart"/>
      <w:r w:rsidRPr="001908F9">
        <w:t>Muxí</w:t>
      </w:r>
      <w:proofErr w:type="spellEnd"/>
      <w:r w:rsidRPr="001908F9">
        <w:t xml:space="preserve"> F. and Xavier A. (2019), “</w:t>
      </w:r>
      <w:hyperlink r:id="rId28" w:history="1">
        <w:r w:rsidRPr="001908F9">
          <w:t>Global Wealth 2019: Reigniting Radical Growth</w:t>
        </w:r>
      </w:hyperlink>
      <w:r w:rsidRPr="001908F9">
        <w:t>”, Boston Consulting Group, 20 June.</w:t>
      </w:r>
    </w:p>
    <w:p w14:paraId="7F9C523C" w14:textId="77777777" w:rsidR="000E1F23" w:rsidRPr="001908F9" w:rsidRDefault="000E1F23" w:rsidP="00ED6B6D">
      <w:pPr>
        <w:pStyle w:val="Paragraph"/>
        <w:spacing w:after="60"/>
        <w:ind w:firstLine="0"/>
      </w:pPr>
      <w:r w:rsidRPr="001908F9">
        <w:t>ZDNet (2020). “</w:t>
      </w:r>
      <w:hyperlink r:id="rId29" w:history="1">
        <w:r w:rsidRPr="001908F9">
          <w:t>RDP and VPN use skyrocketed since coronavirus onset</w:t>
        </w:r>
      </w:hyperlink>
      <w:r w:rsidR="004C1E72" w:rsidRPr="001908F9">
        <w:t>”, June.</w:t>
      </w:r>
    </w:p>
    <w:sectPr w:rsidR="000E1F23" w:rsidRPr="001908F9" w:rsidSect="00B21F1A">
      <w:footerReference w:type="default" r:id="rId30"/>
      <w:footerReference w:type="first" r:id="rId31"/>
      <w:pgSz w:w="11906" w:h="16838" w:code="9"/>
      <w:pgMar w:top="1418" w:right="1531" w:bottom="851" w:left="294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23544" w14:textId="77777777" w:rsidR="00BE68F8" w:rsidRDefault="00BE68F8" w:rsidP="00D712C8">
      <w:r>
        <w:separator/>
      </w:r>
    </w:p>
  </w:endnote>
  <w:endnote w:type="continuationSeparator" w:id="0">
    <w:p w14:paraId="6BCFE422" w14:textId="77777777" w:rsidR="00BE68F8" w:rsidRDefault="00BE68F8" w:rsidP="00D712C8">
      <w:r>
        <w:continuationSeparator/>
      </w:r>
    </w:p>
  </w:endnote>
  <w:endnote w:type="continuationNotice" w:id="1">
    <w:p w14:paraId="58D0CF03" w14:textId="77777777" w:rsidR="00BE68F8" w:rsidRDefault="00BE6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IN Pro">
    <w:altName w:val="DIN Pro"/>
    <w:panose1 w:val="00000000000000000000"/>
    <w:charset w:val="00"/>
    <w:family w:val="swiss"/>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182028"/>
      <w:docPartObj>
        <w:docPartGallery w:val="Page Numbers (Bottom of Page)"/>
        <w:docPartUnique/>
      </w:docPartObj>
    </w:sdtPr>
    <w:sdtEndPr>
      <w:rPr>
        <w:noProof/>
        <w:sz w:val="16"/>
      </w:rPr>
    </w:sdtEndPr>
    <w:sdtContent>
      <w:p w14:paraId="65A29A4D" w14:textId="28D9CC86" w:rsidR="00ED6B6D" w:rsidRPr="0043008F" w:rsidRDefault="00ED6B6D">
        <w:pPr>
          <w:pStyle w:val="Footer"/>
          <w:jc w:val="center"/>
          <w:rPr>
            <w:sz w:val="16"/>
          </w:rPr>
        </w:pPr>
        <w:r w:rsidRPr="0043008F">
          <w:rPr>
            <w:sz w:val="16"/>
          </w:rPr>
          <w:fldChar w:fldCharType="begin"/>
        </w:r>
        <w:r w:rsidRPr="0043008F">
          <w:rPr>
            <w:sz w:val="16"/>
          </w:rPr>
          <w:instrText xml:space="preserve"> PAGE   \* MERGEFORMAT </w:instrText>
        </w:r>
        <w:r w:rsidRPr="0043008F">
          <w:rPr>
            <w:sz w:val="16"/>
          </w:rPr>
          <w:fldChar w:fldCharType="separate"/>
        </w:r>
        <w:r w:rsidR="00503EC4">
          <w:rPr>
            <w:noProof/>
            <w:sz w:val="16"/>
          </w:rPr>
          <w:t>13</w:t>
        </w:r>
        <w:r w:rsidRPr="0043008F">
          <w:rPr>
            <w:noProof/>
            <w:sz w:val="16"/>
          </w:rPr>
          <w:fldChar w:fldCharType="end"/>
        </w:r>
      </w:p>
    </w:sdtContent>
  </w:sdt>
  <w:p w14:paraId="2A06688C" w14:textId="77777777" w:rsidR="00ED6B6D" w:rsidRDefault="00ED6B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42" w:type="dxa"/>
      <w:tblInd w:w="-1814" w:type="dxa"/>
      <w:tblLayout w:type="fixed"/>
      <w:tblCellMar>
        <w:left w:w="0" w:type="dxa"/>
        <w:right w:w="0" w:type="dxa"/>
      </w:tblCellMar>
      <w:tblLook w:val="04A0" w:firstRow="1" w:lastRow="0" w:firstColumn="1" w:lastColumn="0" w:noHBand="0" w:noVBand="1"/>
    </w:tblPr>
    <w:tblGrid>
      <w:gridCol w:w="552"/>
      <w:gridCol w:w="8690"/>
    </w:tblGrid>
    <w:tr w:rsidR="002E5955" w14:paraId="17195FC3" w14:textId="77777777" w:rsidTr="00774328">
      <w:trPr>
        <w:cantSplit/>
        <w:trHeight w:hRule="exact" w:val="284"/>
      </w:trPr>
      <w:tc>
        <w:tcPr>
          <w:tcW w:w="552" w:type="dxa"/>
          <w:vAlign w:val="bottom"/>
        </w:tcPr>
        <w:p w14:paraId="491BE5DA" w14:textId="77777777" w:rsidR="002E5955" w:rsidRDefault="002E5955" w:rsidP="006B6E9D"/>
      </w:tc>
      <w:tc>
        <w:tcPr>
          <w:tcW w:w="8690" w:type="dxa"/>
          <w:vAlign w:val="bottom"/>
          <w:hideMark/>
        </w:tcPr>
        <w:p w14:paraId="4E4DBB5B" w14:textId="77777777" w:rsidR="002E5955" w:rsidRDefault="002E5955" w:rsidP="006B6E9D">
          <w:pPr>
            <w:pStyle w:val="FooterPageNumber"/>
            <w:spacing w:before="0"/>
          </w:pPr>
          <w:r>
            <w:rPr>
              <w:rStyle w:val="PageNumber"/>
            </w:rPr>
            <w:t>A-1</w:t>
          </w:r>
        </w:p>
      </w:tc>
    </w:tr>
  </w:tbl>
  <w:p w14:paraId="437B7D2D" w14:textId="77777777" w:rsidR="002E5955" w:rsidRDefault="002E5955" w:rsidP="00B21F1A">
    <w:pPr>
      <w:pStyle w:val="Footerempty"/>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8F56D" w14:textId="77777777" w:rsidR="00BE68F8" w:rsidRPr="00FC53F1" w:rsidRDefault="00BE68F8" w:rsidP="00D712C8">
      <w:pPr>
        <w:rPr>
          <w:sz w:val="2"/>
          <w:szCs w:val="2"/>
        </w:rPr>
      </w:pPr>
    </w:p>
  </w:footnote>
  <w:footnote w:type="continuationSeparator" w:id="0">
    <w:p w14:paraId="42B1C2DC" w14:textId="77777777" w:rsidR="00BE68F8" w:rsidRPr="00FC53F1" w:rsidRDefault="00BE68F8" w:rsidP="00D712C8">
      <w:pPr>
        <w:rPr>
          <w:sz w:val="2"/>
          <w:szCs w:val="2"/>
        </w:rPr>
      </w:pPr>
    </w:p>
  </w:footnote>
  <w:footnote w:type="continuationNotice" w:id="1">
    <w:p w14:paraId="1E3BD98D" w14:textId="77777777" w:rsidR="00BE68F8" w:rsidRPr="00FC53F1" w:rsidRDefault="00BE68F8">
      <w:pPr>
        <w:rPr>
          <w:sz w:val="2"/>
          <w:szCs w:val="2"/>
        </w:rPr>
      </w:pPr>
    </w:p>
  </w:footnote>
  <w:footnote w:id="2">
    <w:p w14:paraId="0476A5D9" w14:textId="2B59AF72" w:rsidR="002E5955" w:rsidRDefault="002E5955">
      <w:pPr>
        <w:pStyle w:val="FootnoteText"/>
      </w:pPr>
      <w:r w:rsidRPr="0088268B">
        <w:rPr>
          <w:rStyle w:val="FootnoteReference"/>
        </w:rPr>
        <w:sym w:font="Symbol" w:char="F02A"/>
      </w:r>
      <w:r>
        <w:t xml:space="preserve"> </w:t>
      </w:r>
      <w:r>
        <w:tab/>
      </w:r>
      <w:proofErr w:type="spellStart"/>
      <w:r w:rsidR="00613715">
        <w:t>Iñaki</w:t>
      </w:r>
      <w:proofErr w:type="spellEnd"/>
      <w:r w:rsidR="00613715">
        <w:t xml:space="preserve"> </w:t>
      </w:r>
      <w:r>
        <w:t>Aldasoro, Jon Frost, Leonardo Gambacorta and David Whyte are with the Bank for International Settlements</w:t>
      </w:r>
      <w:r w:rsidR="008C57A8">
        <w:t xml:space="preserve"> (BIS)</w:t>
      </w:r>
      <w:r>
        <w:t>; Thomas Leach is with the University of Pavia.</w:t>
      </w:r>
    </w:p>
    <w:p w14:paraId="56C529D5" w14:textId="468CE2AF" w:rsidR="002E5955" w:rsidRPr="0088268B" w:rsidRDefault="002E5955">
      <w:pPr>
        <w:pStyle w:val="FootnoteText"/>
      </w:pPr>
      <w:r>
        <w:tab/>
        <w:t xml:space="preserve">The views expressed in the note belong to the authors and are not necessarily the views of the </w:t>
      </w:r>
      <w:r w:rsidR="008C57A8">
        <w:t>BIS</w:t>
      </w:r>
      <w:r>
        <w:t xml:space="preserve">. </w:t>
      </w:r>
      <w:r w:rsidR="00503EC4" w:rsidRPr="00503EC4">
        <w:t xml:space="preserve">The authors would like to thank Paolo </w:t>
      </w:r>
      <w:proofErr w:type="spellStart"/>
      <w:r w:rsidR="00503EC4" w:rsidRPr="00503EC4">
        <w:t>Giudici</w:t>
      </w:r>
      <w:proofErr w:type="spellEnd"/>
      <w:r w:rsidR="00503EC4" w:rsidRPr="00503EC4">
        <w:t xml:space="preserve"> (University</w:t>
      </w:r>
      <w:r w:rsidR="00503EC4">
        <w:t xml:space="preserve"> of Pavia</w:t>
      </w:r>
      <w:r w:rsidR="00503EC4" w:rsidRPr="00503EC4">
        <w:t>) for comments and suggestions. Thomas Leach  acknowledges support from the European Union’s Horizon 2020 training and innovation programme ”FIN-TECH”, under the grant agreement No. 825215 (Topic ICT-35-2018, Type of actions: CSA).</w:t>
      </w:r>
    </w:p>
  </w:footnote>
  <w:footnote w:id="3">
    <w:p w14:paraId="64E2AC77" w14:textId="77777777" w:rsidR="002E5955" w:rsidRPr="006E2517" w:rsidRDefault="002E5955">
      <w:pPr>
        <w:pStyle w:val="FootnoteText"/>
      </w:pPr>
      <w:r w:rsidRPr="006E2517">
        <w:rPr>
          <w:rStyle w:val="FootnoteReference"/>
        </w:rPr>
        <w:footnoteRef/>
      </w:r>
      <w:r w:rsidRPr="006E2517">
        <w:t xml:space="preserve"> </w:t>
      </w:r>
      <w:r w:rsidRPr="006E2517">
        <w:tab/>
        <w:t xml:space="preserve">According to the </w:t>
      </w:r>
      <w:r>
        <w:t>Financial Stability Board (FSB)</w:t>
      </w:r>
      <w:r w:rsidRPr="006E2517">
        <w:t xml:space="preserve"> Cyber Lexicon, cyber risk refers</w:t>
      </w:r>
      <w:bookmarkStart w:id="1" w:name="_GoBack"/>
      <w:bookmarkEnd w:id="1"/>
      <w:r w:rsidRPr="006E2517">
        <w:t xml:space="preserve"> to “</w:t>
      </w:r>
      <w:r w:rsidRPr="006E2517">
        <w:rPr>
          <w:i/>
        </w:rPr>
        <w:t>the combination of the probability of cyber incidents occurring and their impact</w:t>
      </w:r>
      <w:r w:rsidRPr="006E2517">
        <w:t>”. A “cyber incident”, in turn, is “</w:t>
      </w:r>
      <w:r w:rsidRPr="006E2517">
        <w:rPr>
          <w:i/>
        </w:rPr>
        <w:t>any observable occurrence in an information system… that: (</w:t>
      </w:r>
      <w:proofErr w:type="spellStart"/>
      <w:r w:rsidRPr="006E2517">
        <w:rPr>
          <w:i/>
        </w:rPr>
        <w:t>i</w:t>
      </w:r>
      <w:proofErr w:type="spellEnd"/>
      <w:r w:rsidRPr="006E2517">
        <w:rPr>
          <w:i/>
        </w:rPr>
        <w:t>) jeopardises the cyber security of an information system or the information the system processes, stores or transmits; or (ii) violates the security policies, security procedures or acceptable use policies, whether resulting from malicious activity or not</w:t>
      </w:r>
      <w:r w:rsidRPr="006E2517">
        <w:t xml:space="preserve">”. Besides the </w:t>
      </w:r>
      <w:hyperlink r:id="rId1" w:history="1">
        <w:r w:rsidRPr="006E2517">
          <w:rPr>
            <w:rStyle w:val="Hyperlink"/>
          </w:rPr>
          <w:t>FSB Cyber Lexicon</w:t>
        </w:r>
      </w:hyperlink>
      <w:r w:rsidRPr="006E2517">
        <w:rPr>
          <w:rStyle w:val="Hyperlink"/>
        </w:rPr>
        <w:t>, t</w:t>
      </w:r>
      <w:r w:rsidRPr="006E2517">
        <w:t xml:space="preserve">here are a number of glossaries or lexicons of cyber security terms, including the US </w:t>
      </w:r>
      <w:hyperlink r:id="rId2" w:history="1">
        <w:r w:rsidRPr="006E2517">
          <w:rPr>
            <w:rStyle w:val="Hyperlink"/>
          </w:rPr>
          <w:t xml:space="preserve">Department of </w:t>
        </w:r>
        <w:proofErr w:type="spellStart"/>
        <w:r w:rsidRPr="006E2517">
          <w:rPr>
            <w:rStyle w:val="Hyperlink"/>
          </w:rPr>
          <w:t>Defense</w:t>
        </w:r>
        <w:proofErr w:type="spellEnd"/>
        <w:r w:rsidRPr="006E2517">
          <w:rPr>
            <w:rStyle w:val="Hyperlink"/>
          </w:rPr>
          <w:t xml:space="preserve"> Dictionary of Military and Associated Terms</w:t>
        </w:r>
      </w:hyperlink>
      <w:r w:rsidRPr="006E2517">
        <w:t xml:space="preserve">, and the </w:t>
      </w:r>
      <w:hyperlink r:id="rId3" w:history="1">
        <w:r w:rsidRPr="006E2517">
          <w:rPr>
            <w:rStyle w:val="Hyperlink"/>
          </w:rPr>
          <w:t>National Institute of Standards and Technology (NIST) Glossary of Key Information Security Terms</w:t>
        </w:r>
      </w:hyperlink>
      <w:r w:rsidRPr="006E2517">
        <w:t>.</w:t>
      </w:r>
    </w:p>
  </w:footnote>
  <w:footnote w:id="4">
    <w:p w14:paraId="677FF38F" w14:textId="77777777" w:rsidR="008C57A8" w:rsidRPr="006E2517" w:rsidRDefault="008C57A8" w:rsidP="008C57A8">
      <w:pPr>
        <w:pStyle w:val="FootnoteText"/>
      </w:pPr>
      <w:r w:rsidRPr="006E2517">
        <w:rPr>
          <w:rStyle w:val="FootnoteReference"/>
        </w:rPr>
        <w:footnoteRef/>
      </w:r>
      <w:r w:rsidRPr="006E2517">
        <w:t xml:space="preserve"> </w:t>
      </w:r>
      <w:r w:rsidRPr="006E2517">
        <w:tab/>
      </w:r>
      <w:r>
        <w:t>See Bangladesh Bank and Federal Reserve Bank of</w:t>
      </w:r>
      <w:r w:rsidRPr="00DE6C98">
        <w:t xml:space="preserve"> New York</w:t>
      </w:r>
      <w:r>
        <w:t>,</w:t>
      </w:r>
      <w:r w:rsidRPr="00DE6C98">
        <w:t xml:space="preserve"> </w:t>
      </w:r>
      <w:r>
        <w:t>“</w:t>
      </w:r>
      <w:r w:rsidRPr="00DE6C98">
        <w:t>Joint Statement</w:t>
      </w:r>
      <w:r>
        <w:t>”, 1 February 2019.</w:t>
      </w:r>
      <w:r w:rsidRPr="00DE6C98">
        <w:t xml:space="preserve"> </w:t>
      </w:r>
    </w:p>
  </w:footnote>
  <w:footnote w:id="5">
    <w:p w14:paraId="32AFB4C7" w14:textId="77777777" w:rsidR="008C57A8" w:rsidRPr="006E5EF2" w:rsidRDefault="008C57A8" w:rsidP="008C57A8">
      <w:pPr>
        <w:pStyle w:val="FootnoteText"/>
      </w:pPr>
      <w:r>
        <w:rPr>
          <w:rStyle w:val="FootnoteReference"/>
        </w:rPr>
        <w:footnoteRef/>
      </w:r>
      <w:r>
        <w:t xml:space="preserve"> </w:t>
      </w:r>
      <w:r>
        <w:tab/>
        <w:t xml:space="preserve">In response to ever more sophisticated attacks, SWIFT launched its Customer Security Programme (CSP) in 2016 (see SWIFT, 2019). </w:t>
      </w:r>
    </w:p>
  </w:footnote>
  <w:footnote w:id="6">
    <w:p w14:paraId="27F84E49" w14:textId="77777777" w:rsidR="001908F9" w:rsidRPr="001867AC" w:rsidRDefault="001908F9" w:rsidP="001908F9">
      <w:pPr>
        <w:pStyle w:val="FootnoteText"/>
      </w:pPr>
      <w:r>
        <w:rPr>
          <w:rStyle w:val="FootnoteReference"/>
        </w:rPr>
        <w:footnoteRef/>
      </w:r>
      <w:r>
        <w:t xml:space="preserve"> </w:t>
      </w:r>
      <w:r>
        <w:rPr>
          <w:lang w:val="en-US"/>
        </w:rPr>
        <w:tab/>
        <w:t xml:space="preserve">The </w:t>
      </w:r>
      <w:proofErr w:type="spellStart"/>
      <w:r w:rsidRPr="001867AC">
        <w:rPr>
          <w:lang w:val="en-US"/>
        </w:rPr>
        <w:t>WannaCry</w:t>
      </w:r>
      <w:proofErr w:type="spellEnd"/>
      <w:r w:rsidRPr="001867AC">
        <w:rPr>
          <w:lang w:val="en-US"/>
        </w:rPr>
        <w:t xml:space="preserve"> attack</w:t>
      </w:r>
      <w:r>
        <w:rPr>
          <w:lang w:val="en-US"/>
        </w:rPr>
        <w:t xml:space="preserve">, conducted in </w:t>
      </w:r>
      <w:r w:rsidRPr="001867AC">
        <w:rPr>
          <w:lang w:val="en-US"/>
        </w:rPr>
        <w:t>May 2017</w:t>
      </w:r>
      <w:r>
        <w:rPr>
          <w:lang w:val="en-US"/>
        </w:rPr>
        <w:t xml:space="preserve">, involved the use of ransomware that encrypted data (including sensitive medical data) and demanded ransom payments in </w:t>
      </w:r>
      <w:r w:rsidRPr="001867AC">
        <w:rPr>
          <w:lang w:val="en-US"/>
        </w:rPr>
        <w:t xml:space="preserve">Bitcoin </w:t>
      </w:r>
      <w:r>
        <w:rPr>
          <w:lang w:val="en-US"/>
        </w:rPr>
        <w:t xml:space="preserve">on targeted computers. For information on this attack and others attributed to North Korean groups, see US Treasury (2019). </w:t>
      </w:r>
    </w:p>
  </w:footnote>
  <w:footnote w:id="7">
    <w:p w14:paraId="460D0024" w14:textId="77777777" w:rsidR="001908F9" w:rsidRPr="00643515" w:rsidRDefault="001908F9" w:rsidP="001908F9">
      <w:pPr>
        <w:pStyle w:val="FootnoteText"/>
      </w:pPr>
      <w:r>
        <w:rPr>
          <w:rStyle w:val="FootnoteReference"/>
        </w:rPr>
        <w:footnoteRef/>
      </w:r>
      <w:r>
        <w:t xml:space="preserve"> </w:t>
      </w:r>
      <w:r>
        <w:tab/>
      </w:r>
      <w:r w:rsidRPr="006E2517">
        <w:t>A zero-day exploit is an attack against a software or hardware vulnerability that has been discovered but not publicly disclosed</w:t>
      </w:r>
      <w:r>
        <w:t xml:space="preserve">. Their discovery can result in a situation where both vendors and customers are exposed to a </w:t>
      </w:r>
      <w:proofErr w:type="spellStart"/>
      <w:r>
        <w:t>cyber attack</w:t>
      </w:r>
      <w:proofErr w:type="spellEnd"/>
      <w:r>
        <w:t xml:space="preserve"> for which detection signatures and remedial patches are not available. </w:t>
      </w:r>
    </w:p>
  </w:footnote>
  <w:footnote w:id="8">
    <w:p w14:paraId="2BC9AC59" w14:textId="77777777" w:rsidR="002E5955" w:rsidRPr="006E2517" w:rsidRDefault="002E5955">
      <w:pPr>
        <w:pStyle w:val="FootnoteText"/>
      </w:pPr>
      <w:r w:rsidRPr="006E2517">
        <w:rPr>
          <w:rStyle w:val="FootnoteReference"/>
        </w:rPr>
        <w:footnoteRef/>
      </w:r>
      <w:r w:rsidRPr="006E2517">
        <w:t xml:space="preserve"> </w:t>
      </w:r>
      <w:r w:rsidRPr="006E2517">
        <w:tab/>
      </w:r>
      <w:r w:rsidRPr="006E2517">
        <w:rPr>
          <w:szCs w:val="16"/>
        </w:rPr>
        <w:t xml:space="preserve">The data set is from </w:t>
      </w:r>
      <w:proofErr w:type="spellStart"/>
      <w:r w:rsidRPr="006E2517">
        <w:rPr>
          <w:szCs w:val="16"/>
        </w:rPr>
        <w:t>Advisen</w:t>
      </w:r>
      <w:proofErr w:type="spellEnd"/>
      <w:r w:rsidRPr="006E2517">
        <w:rPr>
          <w:szCs w:val="16"/>
        </w:rPr>
        <w:t xml:space="preserve">, a for-profit organisation that collects the data from reliable and publicly verifiable sources such as websites, newsfeeds, specialised legal information services, multiple online data breach clearing houses and federal and state governments in the United States. The data are not based on self-reporting, reducing concerns related to underreporting of cyber incidents. For alternative estimates of cyber risks using </w:t>
      </w:r>
      <w:proofErr w:type="spellStart"/>
      <w:r w:rsidRPr="006E2517">
        <w:rPr>
          <w:szCs w:val="16"/>
        </w:rPr>
        <w:t>Advisen</w:t>
      </w:r>
      <w:proofErr w:type="spellEnd"/>
      <w:r w:rsidRPr="006E2517">
        <w:rPr>
          <w:szCs w:val="16"/>
        </w:rPr>
        <w:t xml:space="preserve"> data, see </w:t>
      </w:r>
      <w:r>
        <w:rPr>
          <w:szCs w:val="16"/>
        </w:rPr>
        <w:t xml:space="preserve">also </w:t>
      </w:r>
      <w:proofErr w:type="spellStart"/>
      <w:r w:rsidRPr="006E2517">
        <w:rPr>
          <w:szCs w:val="16"/>
        </w:rPr>
        <w:t>Romanosky</w:t>
      </w:r>
      <w:proofErr w:type="spellEnd"/>
      <w:r w:rsidRPr="006E2517">
        <w:rPr>
          <w:szCs w:val="16"/>
        </w:rPr>
        <w:t xml:space="preserve"> </w:t>
      </w:r>
      <w:r>
        <w:rPr>
          <w:szCs w:val="16"/>
        </w:rPr>
        <w:t xml:space="preserve">(2016) and </w:t>
      </w:r>
      <w:proofErr w:type="spellStart"/>
      <w:r w:rsidRPr="006E2517">
        <w:rPr>
          <w:szCs w:val="16"/>
        </w:rPr>
        <w:t>Chande</w:t>
      </w:r>
      <w:proofErr w:type="spellEnd"/>
      <w:r w:rsidRPr="006E2517">
        <w:rPr>
          <w:szCs w:val="16"/>
        </w:rPr>
        <w:t xml:space="preserve"> and </w:t>
      </w:r>
      <w:proofErr w:type="spellStart"/>
      <w:r w:rsidRPr="006E2517">
        <w:rPr>
          <w:szCs w:val="16"/>
        </w:rPr>
        <w:t>Yanchus</w:t>
      </w:r>
      <w:proofErr w:type="spellEnd"/>
      <w:r>
        <w:rPr>
          <w:szCs w:val="16"/>
        </w:rPr>
        <w:t xml:space="preserve"> (2019).</w:t>
      </w:r>
    </w:p>
  </w:footnote>
  <w:footnote w:id="9">
    <w:p w14:paraId="72E5AFB1" w14:textId="77777777" w:rsidR="008C57A8" w:rsidRPr="006E2517" w:rsidRDefault="008C57A8" w:rsidP="008C57A8">
      <w:pPr>
        <w:pStyle w:val="FootnoteText"/>
        <w:rPr>
          <w:szCs w:val="16"/>
        </w:rPr>
      </w:pPr>
      <w:r w:rsidRPr="006E2517">
        <w:rPr>
          <w:rStyle w:val="FootnoteReference"/>
        </w:rPr>
        <w:footnoteRef/>
      </w:r>
      <w:r w:rsidRPr="006E2517">
        <w:t xml:space="preserve"> </w:t>
      </w:r>
      <w:r w:rsidRPr="006E2517">
        <w:tab/>
      </w:r>
      <w:r w:rsidRPr="006E2517">
        <w:rPr>
          <w:szCs w:val="16"/>
        </w:rPr>
        <w:t>ORX is a consortium founded by banks with the aim of sharing operational loss risk data in an anonymised fashion in order to benchmark operational risk models. The sample includes a group of 74 large banks from North and Latin America, Asia-Paciﬁc, Europe and Africa.</w:t>
      </w:r>
    </w:p>
  </w:footnote>
  <w:footnote w:id="10">
    <w:p w14:paraId="7091FF93" w14:textId="77777777" w:rsidR="008C57A8" w:rsidRPr="006E2517" w:rsidRDefault="008C57A8" w:rsidP="008C57A8">
      <w:pPr>
        <w:pStyle w:val="FootnoteText"/>
        <w:rPr>
          <w:szCs w:val="16"/>
        </w:rPr>
      </w:pPr>
      <w:r w:rsidRPr="006E2517">
        <w:rPr>
          <w:rStyle w:val="FootnoteReference"/>
        </w:rPr>
        <w:footnoteRef/>
      </w:r>
      <w:r w:rsidRPr="006E2517">
        <w:t xml:space="preserve"> </w:t>
      </w:r>
      <w:r w:rsidRPr="006E2517">
        <w:tab/>
      </w:r>
      <w:r w:rsidRPr="00947025">
        <w:t xml:space="preserve">Contagion is introduced in the model by assuming that each </w:t>
      </w:r>
      <w:proofErr w:type="spellStart"/>
      <w:r w:rsidRPr="00947025">
        <w:t>cyber attack</w:t>
      </w:r>
      <w:proofErr w:type="spellEnd"/>
      <w:r w:rsidRPr="00947025">
        <w:t xml:space="preserve"> has a probability of affecting one or several firms</w:t>
      </w:r>
      <w:r>
        <w:t xml:space="preserve"> (</w:t>
      </w:r>
      <w:proofErr w:type="spellStart"/>
      <w:r w:rsidRPr="00947025">
        <w:rPr>
          <w:szCs w:val="16"/>
        </w:rPr>
        <w:t>Bouveret</w:t>
      </w:r>
      <w:proofErr w:type="spellEnd"/>
      <w:r>
        <w:rPr>
          <w:szCs w:val="16"/>
        </w:rPr>
        <w:t>, 2018).</w:t>
      </w:r>
    </w:p>
  </w:footnote>
  <w:footnote w:id="11">
    <w:p w14:paraId="2C06A85C" w14:textId="77777777" w:rsidR="008C57A8" w:rsidRPr="006E2517" w:rsidRDefault="008C57A8" w:rsidP="008C57A8">
      <w:pPr>
        <w:pStyle w:val="FootnoteText"/>
      </w:pPr>
      <w:r w:rsidRPr="006E2517">
        <w:rPr>
          <w:rStyle w:val="FootnoteReference"/>
        </w:rPr>
        <w:footnoteRef/>
      </w:r>
      <w:r w:rsidRPr="006E2517">
        <w:t xml:space="preserve"> </w:t>
      </w:r>
      <w:r w:rsidRPr="006E2517">
        <w:tab/>
        <w:t xml:space="preserve">Damages could be larger in the case of data damage-related attacks, </w:t>
      </w:r>
      <w:proofErr w:type="spellStart"/>
      <w:r w:rsidRPr="006E2517">
        <w:t>eg</w:t>
      </w:r>
      <w:proofErr w:type="spellEnd"/>
      <w:r w:rsidRPr="006E2517">
        <w:t xml:space="preserve"> corruption of data from a data service provider</w:t>
      </w:r>
      <w:r>
        <w:t xml:space="preserve"> (see MAS, 2019)</w:t>
      </w:r>
      <w:r w:rsidRPr="006E2517">
        <w:t xml:space="preserve">. </w:t>
      </w:r>
    </w:p>
  </w:footnote>
  <w:footnote w:id="12">
    <w:p w14:paraId="167591F0" w14:textId="77777777" w:rsidR="008C57A8" w:rsidRPr="006E2517" w:rsidRDefault="008C57A8" w:rsidP="008C57A8">
      <w:pPr>
        <w:pStyle w:val="FootnoteText"/>
        <w:rPr>
          <w:szCs w:val="16"/>
        </w:rPr>
      </w:pPr>
      <w:r w:rsidRPr="006E2517">
        <w:rPr>
          <w:rStyle w:val="FootnoteReference"/>
        </w:rPr>
        <w:footnoteRef/>
      </w:r>
      <w:r w:rsidRPr="008964C4">
        <w:t xml:space="preserve"> </w:t>
      </w:r>
      <w:r w:rsidRPr="008964C4">
        <w:tab/>
      </w:r>
      <w:r w:rsidRPr="006E2517">
        <w:rPr>
          <w:szCs w:val="16"/>
        </w:rPr>
        <w:t>The study defines a methodology that identifies the value-at-risk from cyber incidents by country and industry sector and computes the systemic costs of cyber risk between industry sectors from 60 countries</w:t>
      </w:r>
      <w:r>
        <w:rPr>
          <w:szCs w:val="16"/>
        </w:rPr>
        <w:t xml:space="preserve"> (for more info see Dreyer et al. 2018)</w:t>
      </w:r>
      <w:r w:rsidRPr="006E2517">
        <w:rPr>
          <w:szCs w:val="16"/>
        </w:rPr>
        <w:t>.</w:t>
      </w:r>
    </w:p>
  </w:footnote>
  <w:footnote w:id="13">
    <w:p w14:paraId="376C66BA" w14:textId="77777777" w:rsidR="002E5955" w:rsidRPr="006E2517" w:rsidRDefault="002E5955" w:rsidP="00E5422C">
      <w:pPr>
        <w:pStyle w:val="FootnoteText"/>
      </w:pPr>
      <w:r w:rsidRPr="006E2517">
        <w:rPr>
          <w:rStyle w:val="FootnoteReference"/>
        </w:rPr>
        <w:footnoteRef/>
      </w:r>
      <w:r w:rsidRPr="003F280D">
        <w:t xml:space="preserve"> </w:t>
      </w:r>
      <w:r w:rsidRPr="003F280D">
        <w:tab/>
      </w:r>
      <w:r w:rsidR="003F280D">
        <w:t>I</w:t>
      </w:r>
      <w:r w:rsidRPr="006E2517">
        <w:t>mpacts would be even more disruptive on days with higher payments activit</w:t>
      </w:r>
      <w:r>
        <w:t>y</w:t>
      </w:r>
      <w:r w:rsidRPr="006E2517">
        <w:t xml:space="preserve"> and in counties with more concentrated banking markets</w:t>
      </w:r>
      <w:r w:rsidR="003F280D">
        <w:t xml:space="preserve"> (see </w:t>
      </w:r>
      <w:proofErr w:type="spellStart"/>
      <w:r w:rsidR="003F280D" w:rsidRPr="003F280D">
        <w:t>Eisenbach</w:t>
      </w:r>
      <w:proofErr w:type="spellEnd"/>
      <w:r w:rsidR="003F280D">
        <w:t xml:space="preserve"> </w:t>
      </w:r>
      <w:r w:rsidR="00ED6B6D">
        <w:t>et al.</w:t>
      </w:r>
      <w:r w:rsidR="003F280D">
        <w:t>, 2019)</w:t>
      </w:r>
      <w:r w:rsidRPr="006E2517">
        <w:t xml:space="preserve">. </w:t>
      </w:r>
    </w:p>
  </w:footnote>
  <w:footnote w:id="14">
    <w:p w14:paraId="54ADAC6F" w14:textId="77777777" w:rsidR="002E5955" w:rsidRPr="006E2517" w:rsidRDefault="002E5955" w:rsidP="00E5422C">
      <w:pPr>
        <w:pStyle w:val="FootnoteText"/>
        <w:rPr>
          <w:szCs w:val="16"/>
        </w:rPr>
      </w:pPr>
      <w:r w:rsidRPr="006E2517">
        <w:rPr>
          <w:rStyle w:val="FootnoteReference"/>
        </w:rPr>
        <w:footnoteRef/>
      </w:r>
      <w:r w:rsidRPr="006E2517">
        <w:t xml:space="preserve"> </w:t>
      </w:r>
      <w:r w:rsidRPr="006E2517">
        <w:tab/>
      </w:r>
      <w:r w:rsidRPr="006E2517">
        <w:rPr>
          <w:szCs w:val="16"/>
        </w:rPr>
        <w:t>This study analyses a sample of 12 systemically important US financial institutions. It suggests that these firms have sufficient stocks of high-quality liquid assets to cover wholesale funding runoffs in a relatively extreme cyber event, but that the disruption could damage the real economy</w:t>
      </w:r>
      <w:r w:rsidR="00063CB5">
        <w:rPr>
          <w:szCs w:val="16"/>
        </w:rPr>
        <w:t xml:space="preserve"> (see </w:t>
      </w:r>
      <w:proofErr w:type="spellStart"/>
      <w:r w:rsidR="00063CB5" w:rsidRPr="006E2517">
        <w:rPr>
          <w:szCs w:val="16"/>
        </w:rPr>
        <w:t>Duffie</w:t>
      </w:r>
      <w:proofErr w:type="spellEnd"/>
      <w:r w:rsidR="00063CB5" w:rsidRPr="006E2517">
        <w:rPr>
          <w:szCs w:val="16"/>
        </w:rPr>
        <w:t xml:space="preserve"> and Younger</w:t>
      </w:r>
      <w:r w:rsidR="00063CB5">
        <w:rPr>
          <w:szCs w:val="16"/>
        </w:rPr>
        <w:t>, 2019)</w:t>
      </w:r>
      <w:r w:rsidRPr="006E2517">
        <w:rPr>
          <w:szCs w:val="16"/>
        </w:rPr>
        <w:t>.</w:t>
      </w:r>
    </w:p>
  </w:footnote>
  <w:footnote w:id="15">
    <w:p w14:paraId="25BD0760" w14:textId="77777777" w:rsidR="002E5955" w:rsidRPr="006E2517" w:rsidRDefault="002E5955" w:rsidP="00E5422C">
      <w:pPr>
        <w:pStyle w:val="FootnoteText"/>
        <w:rPr>
          <w:szCs w:val="16"/>
        </w:rPr>
      </w:pPr>
      <w:r w:rsidRPr="006E2517">
        <w:rPr>
          <w:rStyle w:val="FootnoteReference"/>
        </w:rPr>
        <w:footnoteRef/>
      </w:r>
      <w:r w:rsidRPr="006E2517">
        <w:t xml:space="preserve"> </w:t>
      </w:r>
      <w:r w:rsidRPr="006E2517">
        <w:tab/>
      </w:r>
      <w:r>
        <w:rPr>
          <w:szCs w:val="16"/>
        </w:rPr>
        <w:t xml:space="preserve">The AUD 38 billion refers to the daily average of unsettled payments in the Reserve Bank Information and Transfer System (RITS) replica model under the assumption of no reaction, and including </w:t>
      </w:r>
      <w:r w:rsidRPr="00D902EF">
        <w:rPr>
          <w:szCs w:val="16"/>
        </w:rPr>
        <w:t xml:space="preserve">unsettled payments resulting from </w:t>
      </w:r>
      <w:r>
        <w:rPr>
          <w:szCs w:val="16"/>
        </w:rPr>
        <w:t>a</w:t>
      </w:r>
      <w:r w:rsidRPr="00D902EF">
        <w:rPr>
          <w:szCs w:val="16"/>
        </w:rPr>
        <w:t xml:space="preserve"> 30</w:t>
      </w:r>
      <w:r>
        <w:rPr>
          <w:szCs w:val="16"/>
        </w:rPr>
        <w:t xml:space="preserve">% </w:t>
      </w:r>
      <w:r w:rsidRPr="00D902EF">
        <w:rPr>
          <w:szCs w:val="16"/>
        </w:rPr>
        <w:t>reduction in liquidity in the systems with bilateral offset</w:t>
      </w:r>
      <w:r>
        <w:rPr>
          <w:szCs w:val="16"/>
        </w:rPr>
        <w:t>. If the reaction time were limited to two hours, the unsettled payments could be reduced to AUD 15 billion</w:t>
      </w:r>
      <w:r w:rsidR="00063CB5">
        <w:rPr>
          <w:szCs w:val="16"/>
        </w:rPr>
        <w:t xml:space="preserve"> (see Clarke and Hancock, 2019)</w:t>
      </w:r>
      <w:r>
        <w:rPr>
          <w:szCs w:val="16"/>
        </w:rPr>
        <w:t xml:space="preserve">. </w:t>
      </w:r>
    </w:p>
  </w:footnote>
  <w:footnote w:id="16">
    <w:p w14:paraId="5FD0BAAD" w14:textId="77777777" w:rsidR="002E5955" w:rsidRPr="006E2517" w:rsidRDefault="002E5955" w:rsidP="00E5422C">
      <w:pPr>
        <w:pStyle w:val="FootnoteText"/>
      </w:pPr>
      <w:r w:rsidRPr="006E2517">
        <w:rPr>
          <w:rStyle w:val="FootnoteReference"/>
        </w:rPr>
        <w:footnoteRef/>
      </w:r>
      <w:r w:rsidRPr="006E2517">
        <w:t xml:space="preserve"> </w:t>
      </w:r>
      <w:r w:rsidRPr="006E2517">
        <w:tab/>
        <w:t xml:space="preserve">For a discussion of cloud service providers as critical infrastructures and potential policy responses, see </w:t>
      </w:r>
      <w:proofErr w:type="spellStart"/>
      <w:r w:rsidR="00235552">
        <w:t>Carr</w:t>
      </w:r>
      <w:proofErr w:type="spellEnd"/>
      <w:r w:rsidR="00235552">
        <w:t xml:space="preserve"> et al. (2019). </w:t>
      </w:r>
    </w:p>
  </w:footnote>
  <w:footnote w:id="17">
    <w:p w14:paraId="65965FA7" w14:textId="77777777" w:rsidR="002E5955" w:rsidRPr="006E2517" w:rsidRDefault="002E5955">
      <w:pPr>
        <w:pStyle w:val="FootnoteText"/>
      </w:pPr>
      <w:r w:rsidRPr="006E2517">
        <w:rPr>
          <w:rStyle w:val="FootnoteReference"/>
        </w:rPr>
        <w:footnoteRef/>
      </w:r>
      <w:r w:rsidRPr="006E2517">
        <w:t xml:space="preserve"> </w:t>
      </w:r>
      <w:r w:rsidRPr="006E2517">
        <w:tab/>
        <w:t>Th</w:t>
      </w:r>
      <w:r>
        <w:t>e CRCC has developed three lines of activity</w:t>
      </w:r>
      <w:r w:rsidRPr="006E2517">
        <w:t xml:space="preserve">. First, </w:t>
      </w:r>
      <w:r>
        <w:t xml:space="preserve">it has set up </w:t>
      </w:r>
      <w:r w:rsidRPr="006E2517">
        <w:t>a “cyber range”. The r</w:t>
      </w:r>
      <w:r w:rsidRPr="006D20B5">
        <w:t xml:space="preserve">ange </w:t>
      </w:r>
      <w:r w:rsidRPr="009A7DA7">
        <w:t>replicates</w:t>
      </w:r>
      <w:r>
        <w:t xml:space="preserve"> </w:t>
      </w:r>
      <w:r w:rsidRPr="006E2517">
        <w:t xml:space="preserve">actual attacks and couples them with “live” testing of incident response capabilities in a realistic but simulated and controlled test environment. Second, the CRCC’s Annual Cyber Security Seminars seek to strengthen and coordinate best practice </w:t>
      </w:r>
      <w:r>
        <w:t>in</w:t>
      </w:r>
      <w:r w:rsidRPr="006E2517">
        <w:t xml:space="preserve"> the central bank community. Third, the BIS is working with the Carnegie Mellon Software Engineering Institute (CERT/SEI) </w:t>
      </w:r>
      <w:r>
        <w:t>on</w:t>
      </w:r>
      <w:r w:rsidRPr="006E2517">
        <w:t xml:space="preserve"> a customised operational resilience assessment framework to help central banks self-assess their cyber security posture. </w:t>
      </w:r>
    </w:p>
  </w:footnote>
  <w:footnote w:id="18">
    <w:p w14:paraId="54E07D95" w14:textId="77777777" w:rsidR="002E5955" w:rsidRPr="006E2517" w:rsidRDefault="002E5955">
      <w:pPr>
        <w:pStyle w:val="FootnoteText"/>
      </w:pPr>
      <w:r w:rsidRPr="006E2517">
        <w:rPr>
          <w:rStyle w:val="FootnoteReference"/>
        </w:rPr>
        <w:footnoteRef/>
      </w:r>
      <w:r w:rsidRPr="006E2517">
        <w:t xml:space="preserve"> </w:t>
      </w:r>
      <w:r w:rsidRPr="006E2517">
        <w:tab/>
        <w:t xml:space="preserve">For a description of the range of practices in different jurisdictions, see </w:t>
      </w:r>
      <w:r w:rsidR="000E1F23">
        <w:t>BCBS (2018), FSB (2017) and IAIS (2016).</w:t>
      </w:r>
    </w:p>
  </w:footnote>
  <w:footnote w:id="19">
    <w:p w14:paraId="433E96E5" w14:textId="77777777" w:rsidR="002E5955" w:rsidRPr="006E2517" w:rsidRDefault="002E5955">
      <w:pPr>
        <w:pStyle w:val="FootnoteText"/>
      </w:pPr>
      <w:r w:rsidRPr="006E2517">
        <w:rPr>
          <w:rStyle w:val="FootnoteReference"/>
        </w:rPr>
        <w:footnoteRef/>
      </w:r>
      <w:r w:rsidRPr="006E2517">
        <w:t xml:space="preserve"> </w:t>
      </w:r>
      <w:r w:rsidRPr="006E2517">
        <w:tab/>
        <w:t xml:space="preserve">For the United States, see </w:t>
      </w:r>
      <w:proofErr w:type="spellStart"/>
      <w:r w:rsidR="00184DB7">
        <w:t>Mester</w:t>
      </w:r>
      <w:proofErr w:type="spellEnd"/>
      <w:r w:rsidR="00184DB7">
        <w:t xml:space="preserve"> (2019). </w:t>
      </w:r>
      <w:r w:rsidRPr="006E2517">
        <w:t xml:space="preserve">The United Kingdom has the </w:t>
      </w:r>
      <w:hyperlink r:id="rId4" w:history="1">
        <w:r w:rsidRPr="006E2517">
          <w:rPr>
            <w:rStyle w:val="Hyperlink"/>
          </w:rPr>
          <w:t>CBEST framework</w:t>
        </w:r>
      </w:hyperlink>
      <w:r w:rsidRPr="006E2517">
        <w:t xml:space="preserve"> and the ECB has a </w:t>
      </w:r>
      <w:hyperlink r:id="rId5" w:history="1">
        <w:r w:rsidRPr="006E2517">
          <w:rPr>
            <w:rStyle w:val="Hyperlink"/>
          </w:rPr>
          <w:t>threat intelligence-based ethical red-teaming</w:t>
        </w:r>
      </w:hyperlink>
      <w:r>
        <w:rPr>
          <w:rStyle w:val="Hyperlink"/>
        </w:rPr>
        <w:t xml:space="preserve"> (TIBER)</w:t>
      </w:r>
      <w:r w:rsidRPr="006E2517">
        <w:t xml:space="preserve"> framework.</w:t>
      </w:r>
    </w:p>
  </w:footnote>
  <w:footnote w:id="20">
    <w:p w14:paraId="532F99E5" w14:textId="77777777" w:rsidR="002E5955" w:rsidRPr="006E2517" w:rsidRDefault="002E5955">
      <w:pPr>
        <w:pStyle w:val="FootnoteText"/>
      </w:pPr>
      <w:r w:rsidRPr="006E2517">
        <w:rPr>
          <w:rStyle w:val="FootnoteReference"/>
        </w:rPr>
        <w:footnoteRef/>
      </w:r>
      <w:r w:rsidRPr="006E2517">
        <w:t xml:space="preserve"> </w:t>
      </w:r>
      <w:r w:rsidRPr="006E2517">
        <w:tab/>
        <w:t xml:space="preserve">For example, in the European Union, the European Systemic Risk Board (ESRB) and ECB have worked on financial stability risks that could stem from cyber incidents. </w:t>
      </w:r>
      <w:r>
        <w:t xml:space="preserve">In Asia, the Association of </w:t>
      </w:r>
      <w:r w:rsidRPr="00114B37">
        <w:t xml:space="preserve">Southeast Asian Nations </w:t>
      </w:r>
      <w:r>
        <w:t>(</w:t>
      </w:r>
      <w:r w:rsidRPr="00114B37">
        <w:t>ASEAN</w:t>
      </w:r>
      <w:r>
        <w:t>) has a</w:t>
      </w:r>
      <w:r w:rsidRPr="00114B37">
        <w:t xml:space="preserve"> Cyber Capacity Development Project </w:t>
      </w:r>
      <w:r>
        <w:t>in cooperation with</w:t>
      </w:r>
      <w:r w:rsidRPr="00114B37">
        <w:t xml:space="preserve"> Japan</w:t>
      </w:r>
      <w:r>
        <w:t xml:space="preserve">, and in 2019 launched a </w:t>
      </w:r>
      <w:r w:rsidRPr="00114B37">
        <w:t>Singapore-ASEAN Cybersecurity Centre of Excellence</w:t>
      </w:r>
      <w:r>
        <w:t>.</w:t>
      </w:r>
      <w:r w:rsidRPr="00114B37">
        <w:t xml:space="preserve"> </w:t>
      </w:r>
      <w:r w:rsidRPr="006E2517">
        <w:t xml:space="preserve">In Latin America, the FSI, CEMLA and ASBA have convened discussions of central banks and regulators on cyber risk. </w:t>
      </w:r>
    </w:p>
  </w:footnote>
  <w:footnote w:id="21">
    <w:p w14:paraId="642FC3B3" w14:textId="77777777" w:rsidR="002E5955" w:rsidRPr="006E2517" w:rsidRDefault="002E5955">
      <w:pPr>
        <w:pStyle w:val="FootnoteText"/>
      </w:pPr>
      <w:r w:rsidRPr="006E2517">
        <w:rPr>
          <w:rStyle w:val="FootnoteReference"/>
        </w:rPr>
        <w:footnoteRef/>
      </w:r>
      <w:r w:rsidRPr="006E2517">
        <w:t xml:space="preserve"> </w:t>
      </w:r>
      <w:r w:rsidRPr="006E2517">
        <w:tab/>
        <w:t>This includes initiatives such as computer emergency response teams (CERTs) at the national level, and the Forum of Incident Response and Security Teams (FIRST) at the global level. Finally, the FS-ISAC is an international effort with the aim of reducing cyber risk in the financial sector. It does this by providing a platform to share actionable threat intelligence whilst providing resiliency resources and fostering a trusted collaborative peer-to-peer network of experts.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412F3"/>
    <w:multiLevelType w:val="hybridMultilevel"/>
    <w:tmpl w:val="D6FE7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3519EF"/>
    <w:multiLevelType w:val="hybridMultilevel"/>
    <w:tmpl w:val="1FA461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AD64C17"/>
    <w:multiLevelType w:val="hybridMultilevel"/>
    <w:tmpl w:val="04D848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610460"/>
    <w:multiLevelType w:val="hybridMultilevel"/>
    <w:tmpl w:val="F6164E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2B81FF5"/>
    <w:multiLevelType w:val="hybridMultilevel"/>
    <w:tmpl w:val="689CA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290E92"/>
    <w:multiLevelType w:val="hybridMultilevel"/>
    <w:tmpl w:val="45704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4E5EB1"/>
    <w:multiLevelType w:val="hybridMultilevel"/>
    <w:tmpl w:val="C972D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3F3308"/>
    <w:multiLevelType w:val="hybridMultilevel"/>
    <w:tmpl w:val="F4E8E9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8BB5EDB"/>
    <w:multiLevelType w:val="hybridMultilevel"/>
    <w:tmpl w:val="D6E48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A04B39"/>
    <w:multiLevelType w:val="hybridMultilevel"/>
    <w:tmpl w:val="F0D838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6B402E"/>
    <w:multiLevelType w:val="hybridMultilevel"/>
    <w:tmpl w:val="76B8E27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1" w15:restartNumberingAfterBreak="0">
    <w:nsid w:val="68EE3382"/>
    <w:multiLevelType w:val="hybridMultilevel"/>
    <w:tmpl w:val="A648CB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830A15"/>
    <w:multiLevelType w:val="hybridMultilevel"/>
    <w:tmpl w:val="CEFAE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3"/>
  </w:num>
  <w:num w:numId="4">
    <w:abstractNumId w:val="7"/>
  </w:num>
  <w:num w:numId="5">
    <w:abstractNumId w:val="12"/>
  </w:num>
  <w:num w:numId="6">
    <w:abstractNumId w:val="5"/>
  </w:num>
  <w:num w:numId="7">
    <w:abstractNumId w:val="8"/>
  </w:num>
  <w:num w:numId="8">
    <w:abstractNumId w:val="0"/>
  </w:num>
  <w:num w:numId="9">
    <w:abstractNumId w:val="2"/>
  </w:num>
  <w:num w:numId="10">
    <w:abstractNumId w:val="9"/>
  </w:num>
  <w:num w:numId="11">
    <w:abstractNumId w:val="4"/>
  </w:num>
  <w:num w:numId="12">
    <w:abstractNumId w:val="6"/>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de-CH" w:vendorID="64" w:dllVersion="131078" w:nlCheck="1" w:checkStyle="0"/>
  <w:activeWritingStyle w:appName="MSWord" w:lang="it-CH" w:vendorID="64" w:dllVersion="131078" w:nlCheck="1" w:checkStyle="0"/>
  <w:activeWritingStyle w:appName="MSWord" w:lang="es-E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2C8"/>
    <w:rsid w:val="00000693"/>
    <w:rsid w:val="000024CC"/>
    <w:rsid w:val="00006D95"/>
    <w:rsid w:val="000079AE"/>
    <w:rsid w:val="00007F1B"/>
    <w:rsid w:val="0001045F"/>
    <w:rsid w:val="00012950"/>
    <w:rsid w:val="00012BBA"/>
    <w:rsid w:val="00012FF2"/>
    <w:rsid w:val="0001388E"/>
    <w:rsid w:val="000168FA"/>
    <w:rsid w:val="00021BEC"/>
    <w:rsid w:val="000235F5"/>
    <w:rsid w:val="000237D6"/>
    <w:rsid w:val="00023945"/>
    <w:rsid w:val="00025592"/>
    <w:rsid w:val="00033063"/>
    <w:rsid w:val="00033FB3"/>
    <w:rsid w:val="00041179"/>
    <w:rsid w:val="00044C7F"/>
    <w:rsid w:val="00044F41"/>
    <w:rsid w:val="000547AC"/>
    <w:rsid w:val="00055C77"/>
    <w:rsid w:val="00056622"/>
    <w:rsid w:val="0006101B"/>
    <w:rsid w:val="00063CB5"/>
    <w:rsid w:val="00065141"/>
    <w:rsid w:val="0006578C"/>
    <w:rsid w:val="00067411"/>
    <w:rsid w:val="00067936"/>
    <w:rsid w:val="00071FBB"/>
    <w:rsid w:val="00073737"/>
    <w:rsid w:val="00075154"/>
    <w:rsid w:val="00082562"/>
    <w:rsid w:val="00083659"/>
    <w:rsid w:val="00084891"/>
    <w:rsid w:val="00086492"/>
    <w:rsid w:val="00086CBB"/>
    <w:rsid w:val="00087500"/>
    <w:rsid w:val="000909A0"/>
    <w:rsid w:val="00092F8E"/>
    <w:rsid w:val="000931FB"/>
    <w:rsid w:val="00094782"/>
    <w:rsid w:val="0009569E"/>
    <w:rsid w:val="000959EC"/>
    <w:rsid w:val="000A0B3F"/>
    <w:rsid w:val="000A4F6A"/>
    <w:rsid w:val="000A6329"/>
    <w:rsid w:val="000A74EA"/>
    <w:rsid w:val="000A7B9A"/>
    <w:rsid w:val="000B2121"/>
    <w:rsid w:val="000B398B"/>
    <w:rsid w:val="000B758B"/>
    <w:rsid w:val="000C0E43"/>
    <w:rsid w:val="000C1D4E"/>
    <w:rsid w:val="000C2D30"/>
    <w:rsid w:val="000D365A"/>
    <w:rsid w:val="000D453B"/>
    <w:rsid w:val="000D71C3"/>
    <w:rsid w:val="000E09EE"/>
    <w:rsid w:val="000E110C"/>
    <w:rsid w:val="000E1AD3"/>
    <w:rsid w:val="000E1F23"/>
    <w:rsid w:val="000E35A4"/>
    <w:rsid w:val="000E4CBC"/>
    <w:rsid w:val="000E4DC5"/>
    <w:rsid w:val="000E7B0A"/>
    <w:rsid w:val="000F1127"/>
    <w:rsid w:val="000F30E8"/>
    <w:rsid w:val="000F36E9"/>
    <w:rsid w:val="000F6E02"/>
    <w:rsid w:val="000F7356"/>
    <w:rsid w:val="000F7955"/>
    <w:rsid w:val="001007BB"/>
    <w:rsid w:val="00100908"/>
    <w:rsid w:val="00103C5E"/>
    <w:rsid w:val="00105205"/>
    <w:rsid w:val="00106B4B"/>
    <w:rsid w:val="00107B29"/>
    <w:rsid w:val="0011067E"/>
    <w:rsid w:val="001127CA"/>
    <w:rsid w:val="00112942"/>
    <w:rsid w:val="001135AB"/>
    <w:rsid w:val="00113996"/>
    <w:rsid w:val="00114B37"/>
    <w:rsid w:val="00115291"/>
    <w:rsid w:val="0011680E"/>
    <w:rsid w:val="00116CE3"/>
    <w:rsid w:val="001244F8"/>
    <w:rsid w:val="00134B0A"/>
    <w:rsid w:val="00134EA7"/>
    <w:rsid w:val="00134FB0"/>
    <w:rsid w:val="001365B7"/>
    <w:rsid w:val="00137035"/>
    <w:rsid w:val="0013715C"/>
    <w:rsid w:val="0013799A"/>
    <w:rsid w:val="00137BA5"/>
    <w:rsid w:val="001406F2"/>
    <w:rsid w:val="001410F2"/>
    <w:rsid w:val="00142ECC"/>
    <w:rsid w:val="00142F71"/>
    <w:rsid w:val="0014410A"/>
    <w:rsid w:val="00144A6C"/>
    <w:rsid w:val="00145641"/>
    <w:rsid w:val="00147CBF"/>
    <w:rsid w:val="00152D7F"/>
    <w:rsid w:val="001531AC"/>
    <w:rsid w:val="00155497"/>
    <w:rsid w:val="00155FCF"/>
    <w:rsid w:val="00157D61"/>
    <w:rsid w:val="00166761"/>
    <w:rsid w:val="00166F52"/>
    <w:rsid w:val="0017217B"/>
    <w:rsid w:val="001725A6"/>
    <w:rsid w:val="00175EE4"/>
    <w:rsid w:val="00184DB7"/>
    <w:rsid w:val="0018512B"/>
    <w:rsid w:val="00186393"/>
    <w:rsid w:val="001867AC"/>
    <w:rsid w:val="001908F9"/>
    <w:rsid w:val="001944ED"/>
    <w:rsid w:val="00194DC0"/>
    <w:rsid w:val="00194F76"/>
    <w:rsid w:val="001A552F"/>
    <w:rsid w:val="001B00EB"/>
    <w:rsid w:val="001B033A"/>
    <w:rsid w:val="001B22BD"/>
    <w:rsid w:val="001B5286"/>
    <w:rsid w:val="001B5BA4"/>
    <w:rsid w:val="001B6298"/>
    <w:rsid w:val="001B64D0"/>
    <w:rsid w:val="001B69AE"/>
    <w:rsid w:val="001B6D58"/>
    <w:rsid w:val="001B70DC"/>
    <w:rsid w:val="001B791D"/>
    <w:rsid w:val="001C6065"/>
    <w:rsid w:val="001C6A31"/>
    <w:rsid w:val="001D013B"/>
    <w:rsid w:val="001D07CB"/>
    <w:rsid w:val="001D2F81"/>
    <w:rsid w:val="001D45ED"/>
    <w:rsid w:val="001D4727"/>
    <w:rsid w:val="001D6982"/>
    <w:rsid w:val="001E02B4"/>
    <w:rsid w:val="001E158D"/>
    <w:rsid w:val="001E188B"/>
    <w:rsid w:val="001E2521"/>
    <w:rsid w:val="001E4DA9"/>
    <w:rsid w:val="001E5C9C"/>
    <w:rsid w:val="001E6101"/>
    <w:rsid w:val="001E68F0"/>
    <w:rsid w:val="001E7217"/>
    <w:rsid w:val="001F0378"/>
    <w:rsid w:val="001F3775"/>
    <w:rsid w:val="001F65C8"/>
    <w:rsid w:val="001F6BA3"/>
    <w:rsid w:val="001F76FF"/>
    <w:rsid w:val="001F7F16"/>
    <w:rsid w:val="00201783"/>
    <w:rsid w:val="00202936"/>
    <w:rsid w:val="00203519"/>
    <w:rsid w:val="00203C2D"/>
    <w:rsid w:val="002049AC"/>
    <w:rsid w:val="00204D07"/>
    <w:rsid w:val="00204FDE"/>
    <w:rsid w:val="00205330"/>
    <w:rsid w:val="00206CBC"/>
    <w:rsid w:val="002078AA"/>
    <w:rsid w:val="0021125C"/>
    <w:rsid w:val="002133CA"/>
    <w:rsid w:val="002134CF"/>
    <w:rsid w:val="00220617"/>
    <w:rsid w:val="002227CF"/>
    <w:rsid w:val="0022332D"/>
    <w:rsid w:val="002236AC"/>
    <w:rsid w:val="002252C1"/>
    <w:rsid w:val="00225CDC"/>
    <w:rsid w:val="002300CE"/>
    <w:rsid w:val="00230241"/>
    <w:rsid w:val="0023068B"/>
    <w:rsid w:val="00233D8A"/>
    <w:rsid w:val="0023448F"/>
    <w:rsid w:val="00235552"/>
    <w:rsid w:val="00236B76"/>
    <w:rsid w:val="00236BE8"/>
    <w:rsid w:val="00236F70"/>
    <w:rsid w:val="0024037B"/>
    <w:rsid w:val="00241DA6"/>
    <w:rsid w:val="00242373"/>
    <w:rsid w:val="00242A58"/>
    <w:rsid w:val="002474C9"/>
    <w:rsid w:val="0025301E"/>
    <w:rsid w:val="00253C6A"/>
    <w:rsid w:val="00255F0F"/>
    <w:rsid w:val="00255F6A"/>
    <w:rsid w:val="00256103"/>
    <w:rsid w:val="00257371"/>
    <w:rsid w:val="00260F65"/>
    <w:rsid w:val="00261501"/>
    <w:rsid w:val="00262ACB"/>
    <w:rsid w:val="002641D8"/>
    <w:rsid w:val="002660D5"/>
    <w:rsid w:val="002661EE"/>
    <w:rsid w:val="0027081B"/>
    <w:rsid w:val="00270FA1"/>
    <w:rsid w:val="00272128"/>
    <w:rsid w:val="002730FF"/>
    <w:rsid w:val="0027386C"/>
    <w:rsid w:val="00285537"/>
    <w:rsid w:val="00286BDC"/>
    <w:rsid w:val="00291017"/>
    <w:rsid w:val="0029332C"/>
    <w:rsid w:val="0029472F"/>
    <w:rsid w:val="00296877"/>
    <w:rsid w:val="00296C54"/>
    <w:rsid w:val="002A0287"/>
    <w:rsid w:val="002A07EA"/>
    <w:rsid w:val="002A1A2E"/>
    <w:rsid w:val="002A228A"/>
    <w:rsid w:val="002A6304"/>
    <w:rsid w:val="002A6723"/>
    <w:rsid w:val="002A6C6C"/>
    <w:rsid w:val="002B25A2"/>
    <w:rsid w:val="002B6430"/>
    <w:rsid w:val="002C2B81"/>
    <w:rsid w:val="002C4555"/>
    <w:rsid w:val="002D0D3B"/>
    <w:rsid w:val="002D1439"/>
    <w:rsid w:val="002D2C6D"/>
    <w:rsid w:val="002D69E1"/>
    <w:rsid w:val="002E1785"/>
    <w:rsid w:val="002E1B33"/>
    <w:rsid w:val="002E41FD"/>
    <w:rsid w:val="002E4484"/>
    <w:rsid w:val="002E4A84"/>
    <w:rsid w:val="002E4B7E"/>
    <w:rsid w:val="002E555A"/>
    <w:rsid w:val="002E5955"/>
    <w:rsid w:val="002E5C5B"/>
    <w:rsid w:val="002E5D8E"/>
    <w:rsid w:val="002E685F"/>
    <w:rsid w:val="002F0608"/>
    <w:rsid w:val="002F2764"/>
    <w:rsid w:val="002F3156"/>
    <w:rsid w:val="002F4155"/>
    <w:rsid w:val="0030151E"/>
    <w:rsid w:val="003031E3"/>
    <w:rsid w:val="003033B2"/>
    <w:rsid w:val="00305ECD"/>
    <w:rsid w:val="0031093D"/>
    <w:rsid w:val="00312167"/>
    <w:rsid w:val="00313DF4"/>
    <w:rsid w:val="0031470F"/>
    <w:rsid w:val="003161CE"/>
    <w:rsid w:val="003168D1"/>
    <w:rsid w:val="00317BB6"/>
    <w:rsid w:val="0032104A"/>
    <w:rsid w:val="00321AFB"/>
    <w:rsid w:val="00321B6A"/>
    <w:rsid w:val="003229E1"/>
    <w:rsid w:val="00325E97"/>
    <w:rsid w:val="003260E7"/>
    <w:rsid w:val="00326A34"/>
    <w:rsid w:val="00330D0A"/>
    <w:rsid w:val="00334392"/>
    <w:rsid w:val="0033551B"/>
    <w:rsid w:val="003376F3"/>
    <w:rsid w:val="00337B21"/>
    <w:rsid w:val="00337FC5"/>
    <w:rsid w:val="00341C25"/>
    <w:rsid w:val="003427B8"/>
    <w:rsid w:val="003460D3"/>
    <w:rsid w:val="003462EF"/>
    <w:rsid w:val="00352B28"/>
    <w:rsid w:val="00353D02"/>
    <w:rsid w:val="00355EC5"/>
    <w:rsid w:val="00356AB4"/>
    <w:rsid w:val="00360B8E"/>
    <w:rsid w:val="003637C3"/>
    <w:rsid w:val="00364ECB"/>
    <w:rsid w:val="003665B4"/>
    <w:rsid w:val="003667BE"/>
    <w:rsid w:val="003667E2"/>
    <w:rsid w:val="00371D00"/>
    <w:rsid w:val="003742B6"/>
    <w:rsid w:val="003743EF"/>
    <w:rsid w:val="00375C3C"/>
    <w:rsid w:val="0037707B"/>
    <w:rsid w:val="00377509"/>
    <w:rsid w:val="00377A65"/>
    <w:rsid w:val="00381A4D"/>
    <w:rsid w:val="00382E7C"/>
    <w:rsid w:val="00384D78"/>
    <w:rsid w:val="00384F10"/>
    <w:rsid w:val="00385795"/>
    <w:rsid w:val="00387BFA"/>
    <w:rsid w:val="00387C75"/>
    <w:rsid w:val="003905ED"/>
    <w:rsid w:val="003936F6"/>
    <w:rsid w:val="00394BBE"/>
    <w:rsid w:val="00396654"/>
    <w:rsid w:val="00397B68"/>
    <w:rsid w:val="003A1F82"/>
    <w:rsid w:val="003A2249"/>
    <w:rsid w:val="003A3A7D"/>
    <w:rsid w:val="003A50F7"/>
    <w:rsid w:val="003A58D9"/>
    <w:rsid w:val="003A758E"/>
    <w:rsid w:val="003A79C4"/>
    <w:rsid w:val="003B249C"/>
    <w:rsid w:val="003B2D03"/>
    <w:rsid w:val="003B2EB8"/>
    <w:rsid w:val="003B3433"/>
    <w:rsid w:val="003B3A3F"/>
    <w:rsid w:val="003B3B33"/>
    <w:rsid w:val="003B7777"/>
    <w:rsid w:val="003C0B01"/>
    <w:rsid w:val="003C144D"/>
    <w:rsid w:val="003C1BEC"/>
    <w:rsid w:val="003C2ED8"/>
    <w:rsid w:val="003D01B0"/>
    <w:rsid w:val="003D0B56"/>
    <w:rsid w:val="003D1111"/>
    <w:rsid w:val="003D11C1"/>
    <w:rsid w:val="003D1E85"/>
    <w:rsid w:val="003D456D"/>
    <w:rsid w:val="003D504E"/>
    <w:rsid w:val="003D5073"/>
    <w:rsid w:val="003D50F0"/>
    <w:rsid w:val="003D7811"/>
    <w:rsid w:val="003D7EB8"/>
    <w:rsid w:val="003E22F2"/>
    <w:rsid w:val="003E3C2B"/>
    <w:rsid w:val="003E3F79"/>
    <w:rsid w:val="003E71BB"/>
    <w:rsid w:val="003E73AE"/>
    <w:rsid w:val="003F0919"/>
    <w:rsid w:val="003F1FED"/>
    <w:rsid w:val="003F280D"/>
    <w:rsid w:val="003F49BA"/>
    <w:rsid w:val="003F58BC"/>
    <w:rsid w:val="003F5FE3"/>
    <w:rsid w:val="0040013B"/>
    <w:rsid w:val="00400F4F"/>
    <w:rsid w:val="0040632B"/>
    <w:rsid w:val="004070C3"/>
    <w:rsid w:val="00415BF2"/>
    <w:rsid w:val="00416A82"/>
    <w:rsid w:val="00416E6A"/>
    <w:rsid w:val="004200EA"/>
    <w:rsid w:val="00420CBD"/>
    <w:rsid w:val="0042113A"/>
    <w:rsid w:val="004213F4"/>
    <w:rsid w:val="004249DC"/>
    <w:rsid w:val="00425C89"/>
    <w:rsid w:val="00427E44"/>
    <w:rsid w:val="0043008F"/>
    <w:rsid w:val="004301C7"/>
    <w:rsid w:val="00431A75"/>
    <w:rsid w:val="00434070"/>
    <w:rsid w:val="00437B9D"/>
    <w:rsid w:val="00444458"/>
    <w:rsid w:val="0044449E"/>
    <w:rsid w:val="00447EAD"/>
    <w:rsid w:val="0045331C"/>
    <w:rsid w:val="004538B9"/>
    <w:rsid w:val="00454867"/>
    <w:rsid w:val="004628FB"/>
    <w:rsid w:val="00462C0B"/>
    <w:rsid w:val="00465324"/>
    <w:rsid w:val="00465833"/>
    <w:rsid w:val="00470060"/>
    <w:rsid w:val="00470366"/>
    <w:rsid w:val="00473F7F"/>
    <w:rsid w:val="004754E8"/>
    <w:rsid w:val="00475E38"/>
    <w:rsid w:val="00481706"/>
    <w:rsid w:val="0048258A"/>
    <w:rsid w:val="00484273"/>
    <w:rsid w:val="00486699"/>
    <w:rsid w:val="004A1BE6"/>
    <w:rsid w:val="004A3EAE"/>
    <w:rsid w:val="004A4E57"/>
    <w:rsid w:val="004A59EB"/>
    <w:rsid w:val="004A5E36"/>
    <w:rsid w:val="004A7CCF"/>
    <w:rsid w:val="004B0D94"/>
    <w:rsid w:val="004B1305"/>
    <w:rsid w:val="004B1CEB"/>
    <w:rsid w:val="004B248F"/>
    <w:rsid w:val="004B2D1C"/>
    <w:rsid w:val="004C1E72"/>
    <w:rsid w:val="004C2EAC"/>
    <w:rsid w:val="004C2EAE"/>
    <w:rsid w:val="004C3B3A"/>
    <w:rsid w:val="004D468E"/>
    <w:rsid w:val="004D5DED"/>
    <w:rsid w:val="004D7C6A"/>
    <w:rsid w:val="004E39C3"/>
    <w:rsid w:val="004E4FF7"/>
    <w:rsid w:val="004E68A4"/>
    <w:rsid w:val="004F2EC5"/>
    <w:rsid w:val="004F36C9"/>
    <w:rsid w:val="004F3793"/>
    <w:rsid w:val="004F40DA"/>
    <w:rsid w:val="005005A0"/>
    <w:rsid w:val="00501261"/>
    <w:rsid w:val="005013A1"/>
    <w:rsid w:val="00502253"/>
    <w:rsid w:val="005033CD"/>
    <w:rsid w:val="00503EC4"/>
    <w:rsid w:val="00504819"/>
    <w:rsid w:val="005059CB"/>
    <w:rsid w:val="00514FD0"/>
    <w:rsid w:val="00521995"/>
    <w:rsid w:val="00522CD9"/>
    <w:rsid w:val="005322F7"/>
    <w:rsid w:val="005336BD"/>
    <w:rsid w:val="00534AFF"/>
    <w:rsid w:val="00537CFF"/>
    <w:rsid w:val="00537D62"/>
    <w:rsid w:val="00542082"/>
    <w:rsid w:val="005426C4"/>
    <w:rsid w:val="00543C55"/>
    <w:rsid w:val="00544C9D"/>
    <w:rsid w:val="0054711D"/>
    <w:rsid w:val="0055099C"/>
    <w:rsid w:val="00552096"/>
    <w:rsid w:val="00555FD0"/>
    <w:rsid w:val="00556A31"/>
    <w:rsid w:val="005607FE"/>
    <w:rsid w:val="00560AAF"/>
    <w:rsid w:val="00560E08"/>
    <w:rsid w:val="00561618"/>
    <w:rsid w:val="00564D9B"/>
    <w:rsid w:val="005679CF"/>
    <w:rsid w:val="00572B4B"/>
    <w:rsid w:val="00573C9A"/>
    <w:rsid w:val="0057557F"/>
    <w:rsid w:val="0058173B"/>
    <w:rsid w:val="00581CF5"/>
    <w:rsid w:val="00584835"/>
    <w:rsid w:val="005850F7"/>
    <w:rsid w:val="00587C95"/>
    <w:rsid w:val="0059185E"/>
    <w:rsid w:val="0059663E"/>
    <w:rsid w:val="005A4B90"/>
    <w:rsid w:val="005A6468"/>
    <w:rsid w:val="005B0764"/>
    <w:rsid w:val="005B34CE"/>
    <w:rsid w:val="005B5B4B"/>
    <w:rsid w:val="005B5EE8"/>
    <w:rsid w:val="005B7693"/>
    <w:rsid w:val="005B7F32"/>
    <w:rsid w:val="005C2780"/>
    <w:rsid w:val="005C2F6A"/>
    <w:rsid w:val="005C389B"/>
    <w:rsid w:val="005C3E83"/>
    <w:rsid w:val="005C494C"/>
    <w:rsid w:val="005C547D"/>
    <w:rsid w:val="005D1513"/>
    <w:rsid w:val="005D2A7C"/>
    <w:rsid w:val="005D3FEE"/>
    <w:rsid w:val="005D4B6B"/>
    <w:rsid w:val="005D4BC1"/>
    <w:rsid w:val="005D6347"/>
    <w:rsid w:val="005D6996"/>
    <w:rsid w:val="005D7A30"/>
    <w:rsid w:val="005E0CC4"/>
    <w:rsid w:val="005E173C"/>
    <w:rsid w:val="005E2357"/>
    <w:rsid w:val="005E3C5F"/>
    <w:rsid w:val="005E5B7F"/>
    <w:rsid w:val="005F2849"/>
    <w:rsid w:val="005F2CF7"/>
    <w:rsid w:val="005F3D97"/>
    <w:rsid w:val="005F3E0C"/>
    <w:rsid w:val="006030FD"/>
    <w:rsid w:val="0060512E"/>
    <w:rsid w:val="00605535"/>
    <w:rsid w:val="00610183"/>
    <w:rsid w:val="00613715"/>
    <w:rsid w:val="00613A36"/>
    <w:rsid w:val="00613C4A"/>
    <w:rsid w:val="00614D01"/>
    <w:rsid w:val="0062002E"/>
    <w:rsid w:val="00624F16"/>
    <w:rsid w:val="00625D32"/>
    <w:rsid w:val="00630B8F"/>
    <w:rsid w:val="00631AAC"/>
    <w:rsid w:val="0063337D"/>
    <w:rsid w:val="00635573"/>
    <w:rsid w:val="0063587F"/>
    <w:rsid w:val="006359C5"/>
    <w:rsid w:val="00640BF9"/>
    <w:rsid w:val="00642468"/>
    <w:rsid w:val="00643515"/>
    <w:rsid w:val="00650C63"/>
    <w:rsid w:val="00653940"/>
    <w:rsid w:val="00657289"/>
    <w:rsid w:val="00662181"/>
    <w:rsid w:val="00662B7F"/>
    <w:rsid w:val="00664385"/>
    <w:rsid w:val="0066493E"/>
    <w:rsid w:val="00664F92"/>
    <w:rsid w:val="006655A1"/>
    <w:rsid w:val="00671515"/>
    <w:rsid w:val="006719B2"/>
    <w:rsid w:val="00672E7C"/>
    <w:rsid w:val="006734E3"/>
    <w:rsid w:val="006743FA"/>
    <w:rsid w:val="00681494"/>
    <w:rsid w:val="00683A45"/>
    <w:rsid w:val="00684280"/>
    <w:rsid w:val="006850DE"/>
    <w:rsid w:val="00686BEB"/>
    <w:rsid w:val="006873D7"/>
    <w:rsid w:val="006935FB"/>
    <w:rsid w:val="00694A05"/>
    <w:rsid w:val="006A0131"/>
    <w:rsid w:val="006A1880"/>
    <w:rsid w:val="006A5F88"/>
    <w:rsid w:val="006B1741"/>
    <w:rsid w:val="006B19F1"/>
    <w:rsid w:val="006B1DF7"/>
    <w:rsid w:val="006B27CD"/>
    <w:rsid w:val="006B4A33"/>
    <w:rsid w:val="006B6E9B"/>
    <w:rsid w:val="006B6E9D"/>
    <w:rsid w:val="006B7369"/>
    <w:rsid w:val="006C210C"/>
    <w:rsid w:val="006C4720"/>
    <w:rsid w:val="006C7711"/>
    <w:rsid w:val="006D0D8E"/>
    <w:rsid w:val="006D2002"/>
    <w:rsid w:val="006D20B5"/>
    <w:rsid w:val="006D5DA7"/>
    <w:rsid w:val="006D6B83"/>
    <w:rsid w:val="006E2517"/>
    <w:rsid w:val="006E4DBC"/>
    <w:rsid w:val="006E5EF2"/>
    <w:rsid w:val="006F0BB9"/>
    <w:rsid w:val="006F1AEA"/>
    <w:rsid w:val="006F28BB"/>
    <w:rsid w:val="006F3C78"/>
    <w:rsid w:val="006F599F"/>
    <w:rsid w:val="006F7494"/>
    <w:rsid w:val="006F79AC"/>
    <w:rsid w:val="007003C2"/>
    <w:rsid w:val="007019E6"/>
    <w:rsid w:val="00703359"/>
    <w:rsid w:val="007046A6"/>
    <w:rsid w:val="00707687"/>
    <w:rsid w:val="00707DD3"/>
    <w:rsid w:val="0071053A"/>
    <w:rsid w:val="00711542"/>
    <w:rsid w:val="00714FF8"/>
    <w:rsid w:val="007204B5"/>
    <w:rsid w:val="00723262"/>
    <w:rsid w:val="00725D5B"/>
    <w:rsid w:val="00726E5B"/>
    <w:rsid w:val="007325FC"/>
    <w:rsid w:val="007342F2"/>
    <w:rsid w:val="00734AD0"/>
    <w:rsid w:val="00735BFD"/>
    <w:rsid w:val="00736999"/>
    <w:rsid w:val="00736C3F"/>
    <w:rsid w:val="00736F0F"/>
    <w:rsid w:val="00737119"/>
    <w:rsid w:val="00740395"/>
    <w:rsid w:val="007414B7"/>
    <w:rsid w:val="007419D3"/>
    <w:rsid w:val="00741FD9"/>
    <w:rsid w:val="007436EB"/>
    <w:rsid w:val="00743C41"/>
    <w:rsid w:val="00750D21"/>
    <w:rsid w:val="0075297C"/>
    <w:rsid w:val="00754FC8"/>
    <w:rsid w:val="00760437"/>
    <w:rsid w:val="00760614"/>
    <w:rsid w:val="00760B79"/>
    <w:rsid w:val="00765297"/>
    <w:rsid w:val="00765AFD"/>
    <w:rsid w:val="0077175B"/>
    <w:rsid w:val="00771BA1"/>
    <w:rsid w:val="0077247C"/>
    <w:rsid w:val="00773216"/>
    <w:rsid w:val="0077331B"/>
    <w:rsid w:val="00774328"/>
    <w:rsid w:val="00776BE3"/>
    <w:rsid w:val="00776F3C"/>
    <w:rsid w:val="00777C5A"/>
    <w:rsid w:val="00780ED0"/>
    <w:rsid w:val="007811D8"/>
    <w:rsid w:val="00781601"/>
    <w:rsid w:val="00782A71"/>
    <w:rsid w:val="007846DA"/>
    <w:rsid w:val="007863BE"/>
    <w:rsid w:val="00786C6D"/>
    <w:rsid w:val="007923EF"/>
    <w:rsid w:val="00794A16"/>
    <w:rsid w:val="0079577F"/>
    <w:rsid w:val="007A09DB"/>
    <w:rsid w:val="007A3665"/>
    <w:rsid w:val="007A4CF9"/>
    <w:rsid w:val="007A7BEE"/>
    <w:rsid w:val="007B095A"/>
    <w:rsid w:val="007B40DD"/>
    <w:rsid w:val="007B5341"/>
    <w:rsid w:val="007B63B6"/>
    <w:rsid w:val="007C275D"/>
    <w:rsid w:val="007C58E1"/>
    <w:rsid w:val="007C6EE0"/>
    <w:rsid w:val="007D0570"/>
    <w:rsid w:val="007D15FF"/>
    <w:rsid w:val="007D1D02"/>
    <w:rsid w:val="007D1FFE"/>
    <w:rsid w:val="007D426B"/>
    <w:rsid w:val="007E0964"/>
    <w:rsid w:val="007E2744"/>
    <w:rsid w:val="007E2C21"/>
    <w:rsid w:val="007E33E7"/>
    <w:rsid w:val="007E79E8"/>
    <w:rsid w:val="007F134B"/>
    <w:rsid w:val="007F1990"/>
    <w:rsid w:val="007F1CD5"/>
    <w:rsid w:val="007F3218"/>
    <w:rsid w:val="007F3FBA"/>
    <w:rsid w:val="007F4E44"/>
    <w:rsid w:val="007F5432"/>
    <w:rsid w:val="007F6600"/>
    <w:rsid w:val="007F7B38"/>
    <w:rsid w:val="00800AAD"/>
    <w:rsid w:val="00801381"/>
    <w:rsid w:val="00801970"/>
    <w:rsid w:val="00802032"/>
    <w:rsid w:val="008026B8"/>
    <w:rsid w:val="0080290F"/>
    <w:rsid w:val="008037A3"/>
    <w:rsid w:val="008104CF"/>
    <w:rsid w:val="008113D2"/>
    <w:rsid w:val="00813239"/>
    <w:rsid w:val="00814A5E"/>
    <w:rsid w:val="008155B1"/>
    <w:rsid w:val="00815D2C"/>
    <w:rsid w:val="00817E97"/>
    <w:rsid w:val="00820E37"/>
    <w:rsid w:val="0082412A"/>
    <w:rsid w:val="0082419B"/>
    <w:rsid w:val="00832353"/>
    <w:rsid w:val="00832A77"/>
    <w:rsid w:val="00832FEE"/>
    <w:rsid w:val="008346CF"/>
    <w:rsid w:val="00834ADB"/>
    <w:rsid w:val="00836226"/>
    <w:rsid w:val="0084018A"/>
    <w:rsid w:val="008405A3"/>
    <w:rsid w:val="00843E3F"/>
    <w:rsid w:val="00850F9B"/>
    <w:rsid w:val="0085381B"/>
    <w:rsid w:val="00855576"/>
    <w:rsid w:val="0085619D"/>
    <w:rsid w:val="008725B7"/>
    <w:rsid w:val="00872C9D"/>
    <w:rsid w:val="00874D75"/>
    <w:rsid w:val="0088268B"/>
    <w:rsid w:val="00882B05"/>
    <w:rsid w:val="008836EE"/>
    <w:rsid w:val="00886786"/>
    <w:rsid w:val="008871AB"/>
    <w:rsid w:val="00887BD0"/>
    <w:rsid w:val="00892678"/>
    <w:rsid w:val="008963FF"/>
    <w:rsid w:val="008964C4"/>
    <w:rsid w:val="008965C6"/>
    <w:rsid w:val="008971AD"/>
    <w:rsid w:val="00897264"/>
    <w:rsid w:val="008A4DD9"/>
    <w:rsid w:val="008A5270"/>
    <w:rsid w:val="008A54D8"/>
    <w:rsid w:val="008B0066"/>
    <w:rsid w:val="008B3284"/>
    <w:rsid w:val="008B55F6"/>
    <w:rsid w:val="008B7938"/>
    <w:rsid w:val="008C385C"/>
    <w:rsid w:val="008C4838"/>
    <w:rsid w:val="008C5646"/>
    <w:rsid w:val="008C57A8"/>
    <w:rsid w:val="008D46DF"/>
    <w:rsid w:val="008D58F9"/>
    <w:rsid w:val="008D5CEC"/>
    <w:rsid w:val="008D6013"/>
    <w:rsid w:val="008D773A"/>
    <w:rsid w:val="008D79D8"/>
    <w:rsid w:val="008E2B45"/>
    <w:rsid w:val="008E319F"/>
    <w:rsid w:val="008E5B26"/>
    <w:rsid w:val="008E64E9"/>
    <w:rsid w:val="008E7DF9"/>
    <w:rsid w:val="008F25D7"/>
    <w:rsid w:val="008F688B"/>
    <w:rsid w:val="008F689D"/>
    <w:rsid w:val="00900F31"/>
    <w:rsid w:val="00901DEE"/>
    <w:rsid w:val="00903394"/>
    <w:rsid w:val="0090582E"/>
    <w:rsid w:val="00906198"/>
    <w:rsid w:val="0090766B"/>
    <w:rsid w:val="009079B9"/>
    <w:rsid w:val="00911879"/>
    <w:rsid w:val="00912BF6"/>
    <w:rsid w:val="00913DB0"/>
    <w:rsid w:val="009171FC"/>
    <w:rsid w:val="00922485"/>
    <w:rsid w:val="009240C3"/>
    <w:rsid w:val="00932341"/>
    <w:rsid w:val="00932C3F"/>
    <w:rsid w:val="0093307D"/>
    <w:rsid w:val="00933B76"/>
    <w:rsid w:val="0093790D"/>
    <w:rsid w:val="0094534E"/>
    <w:rsid w:val="00947025"/>
    <w:rsid w:val="00947C51"/>
    <w:rsid w:val="00950641"/>
    <w:rsid w:val="00953ED0"/>
    <w:rsid w:val="009551AD"/>
    <w:rsid w:val="00955A64"/>
    <w:rsid w:val="009611E9"/>
    <w:rsid w:val="00963651"/>
    <w:rsid w:val="00967D4A"/>
    <w:rsid w:val="00971462"/>
    <w:rsid w:val="0098294A"/>
    <w:rsid w:val="009839BA"/>
    <w:rsid w:val="0098525D"/>
    <w:rsid w:val="00990FED"/>
    <w:rsid w:val="009910A9"/>
    <w:rsid w:val="00993698"/>
    <w:rsid w:val="009940A0"/>
    <w:rsid w:val="009941EB"/>
    <w:rsid w:val="00995770"/>
    <w:rsid w:val="0099721C"/>
    <w:rsid w:val="009973D6"/>
    <w:rsid w:val="009A0580"/>
    <w:rsid w:val="009A0900"/>
    <w:rsid w:val="009A11AA"/>
    <w:rsid w:val="009A2152"/>
    <w:rsid w:val="009A3207"/>
    <w:rsid w:val="009A36C5"/>
    <w:rsid w:val="009A59D3"/>
    <w:rsid w:val="009A7DA7"/>
    <w:rsid w:val="009B07EA"/>
    <w:rsid w:val="009B1C61"/>
    <w:rsid w:val="009B2A2B"/>
    <w:rsid w:val="009B46C7"/>
    <w:rsid w:val="009B63BD"/>
    <w:rsid w:val="009B6856"/>
    <w:rsid w:val="009B6E67"/>
    <w:rsid w:val="009C00FA"/>
    <w:rsid w:val="009C0CBE"/>
    <w:rsid w:val="009C1240"/>
    <w:rsid w:val="009C254B"/>
    <w:rsid w:val="009D2490"/>
    <w:rsid w:val="009D36F9"/>
    <w:rsid w:val="009E15AF"/>
    <w:rsid w:val="009E2A65"/>
    <w:rsid w:val="009E597A"/>
    <w:rsid w:val="009E67C0"/>
    <w:rsid w:val="009F0241"/>
    <w:rsid w:val="009F108B"/>
    <w:rsid w:val="009F142F"/>
    <w:rsid w:val="009F3B15"/>
    <w:rsid w:val="009F5ADD"/>
    <w:rsid w:val="009F6765"/>
    <w:rsid w:val="00A020D7"/>
    <w:rsid w:val="00A05D8D"/>
    <w:rsid w:val="00A06882"/>
    <w:rsid w:val="00A125DC"/>
    <w:rsid w:val="00A13B26"/>
    <w:rsid w:val="00A160D9"/>
    <w:rsid w:val="00A2071D"/>
    <w:rsid w:val="00A20BE9"/>
    <w:rsid w:val="00A22093"/>
    <w:rsid w:val="00A22B3E"/>
    <w:rsid w:val="00A2323B"/>
    <w:rsid w:val="00A23626"/>
    <w:rsid w:val="00A24F0E"/>
    <w:rsid w:val="00A2512A"/>
    <w:rsid w:val="00A2752B"/>
    <w:rsid w:val="00A32E7B"/>
    <w:rsid w:val="00A36CB3"/>
    <w:rsid w:val="00A40387"/>
    <w:rsid w:val="00A417E8"/>
    <w:rsid w:val="00A44E11"/>
    <w:rsid w:val="00A45B0B"/>
    <w:rsid w:val="00A5075C"/>
    <w:rsid w:val="00A5101A"/>
    <w:rsid w:val="00A53388"/>
    <w:rsid w:val="00A54FE5"/>
    <w:rsid w:val="00A55757"/>
    <w:rsid w:val="00A572CA"/>
    <w:rsid w:val="00A574F8"/>
    <w:rsid w:val="00A614B4"/>
    <w:rsid w:val="00A62155"/>
    <w:rsid w:val="00A63D09"/>
    <w:rsid w:val="00A70571"/>
    <w:rsid w:val="00A7253C"/>
    <w:rsid w:val="00A72C9F"/>
    <w:rsid w:val="00A73500"/>
    <w:rsid w:val="00A7406E"/>
    <w:rsid w:val="00A7561B"/>
    <w:rsid w:val="00A838D3"/>
    <w:rsid w:val="00A85703"/>
    <w:rsid w:val="00A858ED"/>
    <w:rsid w:val="00A9199B"/>
    <w:rsid w:val="00A970DA"/>
    <w:rsid w:val="00AA5DF0"/>
    <w:rsid w:val="00AB039C"/>
    <w:rsid w:val="00AB0E44"/>
    <w:rsid w:val="00AB2DFC"/>
    <w:rsid w:val="00AB3663"/>
    <w:rsid w:val="00AB6041"/>
    <w:rsid w:val="00AB624C"/>
    <w:rsid w:val="00AB62CE"/>
    <w:rsid w:val="00AC1868"/>
    <w:rsid w:val="00AC199E"/>
    <w:rsid w:val="00AC1C86"/>
    <w:rsid w:val="00AC484E"/>
    <w:rsid w:val="00AC5FBE"/>
    <w:rsid w:val="00AC7C10"/>
    <w:rsid w:val="00AD0057"/>
    <w:rsid w:val="00AD0961"/>
    <w:rsid w:val="00AD1AF6"/>
    <w:rsid w:val="00AD3466"/>
    <w:rsid w:val="00AD4156"/>
    <w:rsid w:val="00AD4CBC"/>
    <w:rsid w:val="00AD5B3E"/>
    <w:rsid w:val="00AD6AAD"/>
    <w:rsid w:val="00AD6FF6"/>
    <w:rsid w:val="00AD7827"/>
    <w:rsid w:val="00AE4609"/>
    <w:rsid w:val="00AF1B15"/>
    <w:rsid w:val="00AF2185"/>
    <w:rsid w:val="00AF4D64"/>
    <w:rsid w:val="00B00700"/>
    <w:rsid w:val="00B05B49"/>
    <w:rsid w:val="00B108E4"/>
    <w:rsid w:val="00B1127E"/>
    <w:rsid w:val="00B1184B"/>
    <w:rsid w:val="00B129F9"/>
    <w:rsid w:val="00B16C81"/>
    <w:rsid w:val="00B20719"/>
    <w:rsid w:val="00B21F1A"/>
    <w:rsid w:val="00B26ADD"/>
    <w:rsid w:val="00B32A94"/>
    <w:rsid w:val="00B33895"/>
    <w:rsid w:val="00B34A9F"/>
    <w:rsid w:val="00B350EA"/>
    <w:rsid w:val="00B35751"/>
    <w:rsid w:val="00B35BC8"/>
    <w:rsid w:val="00B3653F"/>
    <w:rsid w:val="00B367BB"/>
    <w:rsid w:val="00B447FF"/>
    <w:rsid w:val="00B44F6E"/>
    <w:rsid w:val="00B47A89"/>
    <w:rsid w:val="00B50A87"/>
    <w:rsid w:val="00B51AEF"/>
    <w:rsid w:val="00B51F31"/>
    <w:rsid w:val="00B54E33"/>
    <w:rsid w:val="00B55D65"/>
    <w:rsid w:val="00B56D5C"/>
    <w:rsid w:val="00B57183"/>
    <w:rsid w:val="00B5724D"/>
    <w:rsid w:val="00B60BE3"/>
    <w:rsid w:val="00B61F0F"/>
    <w:rsid w:val="00B62840"/>
    <w:rsid w:val="00B66122"/>
    <w:rsid w:val="00B67DB7"/>
    <w:rsid w:val="00B7080A"/>
    <w:rsid w:val="00B71C5E"/>
    <w:rsid w:val="00B764D2"/>
    <w:rsid w:val="00B81C93"/>
    <w:rsid w:val="00B83E24"/>
    <w:rsid w:val="00B842E8"/>
    <w:rsid w:val="00B87FA0"/>
    <w:rsid w:val="00B967B1"/>
    <w:rsid w:val="00BA4507"/>
    <w:rsid w:val="00BA4D22"/>
    <w:rsid w:val="00BA53D2"/>
    <w:rsid w:val="00BA60CE"/>
    <w:rsid w:val="00BB1186"/>
    <w:rsid w:val="00BB2B93"/>
    <w:rsid w:val="00BB44D4"/>
    <w:rsid w:val="00BB5EA4"/>
    <w:rsid w:val="00BB7044"/>
    <w:rsid w:val="00BC04F1"/>
    <w:rsid w:val="00BC0912"/>
    <w:rsid w:val="00BC151A"/>
    <w:rsid w:val="00BC163A"/>
    <w:rsid w:val="00BC5068"/>
    <w:rsid w:val="00BC5B4A"/>
    <w:rsid w:val="00BC5D16"/>
    <w:rsid w:val="00BC7F56"/>
    <w:rsid w:val="00BD07EF"/>
    <w:rsid w:val="00BD1424"/>
    <w:rsid w:val="00BD35EB"/>
    <w:rsid w:val="00BD3E61"/>
    <w:rsid w:val="00BD4137"/>
    <w:rsid w:val="00BD4BD4"/>
    <w:rsid w:val="00BD4E60"/>
    <w:rsid w:val="00BD5268"/>
    <w:rsid w:val="00BE493E"/>
    <w:rsid w:val="00BE6226"/>
    <w:rsid w:val="00BE68F8"/>
    <w:rsid w:val="00BF0AD7"/>
    <w:rsid w:val="00C031B8"/>
    <w:rsid w:val="00C042B8"/>
    <w:rsid w:val="00C07D8B"/>
    <w:rsid w:val="00C10DBC"/>
    <w:rsid w:val="00C11D41"/>
    <w:rsid w:val="00C11D8D"/>
    <w:rsid w:val="00C13E10"/>
    <w:rsid w:val="00C229CD"/>
    <w:rsid w:val="00C22F5E"/>
    <w:rsid w:val="00C23139"/>
    <w:rsid w:val="00C25CA5"/>
    <w:rsid w:val="00C27EBB"/>
    <w:rsid w:val="00C31197"/>
    <w:rsid w:val="00C31BCD"/>
    <w:rsid w:val="00C33F62"/>
    <w:rsid w:val="00C41659"/>
    <w:rsid w:val="00C53ABB"/>
    <w:rsid w:val="00C54033"/>
    <w:rsid w:val="00C54944"/>
    <w:rsid w:val="00C57124"/>
    <w:rsid w:val="00C602C6"/>
    <w:rsid w:val="00C6080A"/>
    <w:rsid w:val="00C60884"/>
    <w:rsid w:val="00C62D46"/>
    <w:rsid w:val="00C62ECE"/>
    <w:rsid w:val="00C667E2"/>
    <w:rsid w:val="00C6694A"/>
    <w:rsid w:val="00C70710"/>
    <w:rsid w:val="00C746FF"/>
    <w:rsid w:val="00C76360"/>
    <w:rsid w:val="00C76B4D"/>
    <w:rsid w:val="00C81648"/>
    <w:rsid w:val="00C82260"/>
    <w:rsid w:val="00C85764"/>
    <w:rsid w:val="00C91048"/>
    <w:rsid w:val="00C92EB6"/>
    <w:rsid w:val="00CA6363"/>
    <w:rsid w:val="00CA7E4E"/>
    <w:rsid w:val="00CB055E"/>
    <w:rsid w:val="00CB0EE9"/>
    <w:rsid w:val="00CB3190"/>
    <w:rsid w:val="00CB6653"/>
    <w:rsid w:val="00CC182F"/>
    <w:rsid w:val="00CD4FB2"/>
    <w:rsid w:val="00CD6631"/>
    <w:rsid w:val="00CE120C"/>
    <w:rsid w:val="00CE14BB"/>
    <w:rsid w:val="00CE4E84"/>
    <w:rsid w:val="00CE522B"/>
    <w:rsid w:val="00CE5C52"/>
    <w:rsid w:val="00CE6F6B"/>
    <w:rsid w:val="00CE771C"/>
    <w:rsid w:val="00CE7B2D"/>
    <w:rsid w:val="00CF0AFA"/>
    <w:rsid w:val="00CF134B"/>
    <w:rsid w:val="00CF1B43"/>
    <w:rsid w:val="00CF5024"/>
    <w:rsid w:val="00D0163D"/>
    <w:rsid w:val="00D032AF"/>
    <w:rsid w:val="00D04B98"/>
    <w:rsid w:val="00D070BC"/>
    <w:rsid w:val="00D10824"/>
    <w:rsid w:val="00D12511"/>
    <w:rsid w:val="00D1255C"/>
    <w:rsid w:val="00D1678A"/>
    <w:rsid w:val="00D17EFF"/>
    <w:rsid w:val="00D21A18"/>
    <w:rsid w:val="00D21FC2"/>
    <w:rsid w:val="00D232F7"/>
    <w:rsid w:val="00D24901"/>
    <w:rsid w:val="00D2541C"/>
    <w:rsid w:val="00D26832"/>
    <w:rsid w:val="00D279A4"/>
    <w:rsid w:val="00D310A5"/>
    <w:rsid w:val="00D32AA3"/>
    <w:rsid w:val="00D33614"/>
    <w:rsid w:val="00D3461F"/>
    <w:rsid w:val="00D36843"/>
    <w:rsid w:val="00D41277"/>
    <w:rsid w:val="00D43D60"/>
    <w:rsid w:val="00D540DC"/>
    <w:rsid w:val="00D55E7D"/>
    <w:rsid w:val="00D57CAC"/>
    <w:rsid w:val="00D60CAA"/>
    <w:rsid w:val="00D634C0"/>
    <w:rsid w:val="00D6371B"/>
    <w:rsid w:val="00D64B45"/>
    <w:rsid w:val="00D65C72"/>
    <w:rsid w:val="00D712C8"/>
    <w:rsid w:val="00D71DCF"/>
    <w:rsid w:val="00D73905"/>
    <w:rsid w:val="00D73EEE"/>
    <w:rsid w:val="00D754D3"/>
    <w:rsid w:val="00D7756A"/>
    <w:rsid w:val="00D8098E"/>
    <w:rsid w:val="00D812C3"/>
    <w:rsid w:val="00D81599"/>
    <w:rsid w:val="00D83991"/>
    <w:rsid w:val="00D83DE3"/>
    <w:rsid w:val="00D842D8"/>
    <w:rsid w:val="00D84306"/>
    <w:rsid w:val="00D84D3F"/>
    <w:rsid w:val="00D902EF"/>
    <w:rsid w:val="00D91275"/>
    <w:rsid w:val="00D921B1"/>
    <w:rsid w:val="00D92244"/>
    <w:rsid w:val="00D9390A"/>
    <w:rsid w:val="00D93969"/>
    <w:rsid w:val="00D95537"/>
    <w:rsid w:val="00D97F4E"/>
    <w:rsid w:val="00DA2121"/>
    <w:rsid w:val="00DA34D3"/>
    <w:rsid w:val="00DA45D2"/>
    <w:rsid w:val="00DA5518"/>
    <w:rsid w:val="00DB38E2"/>
    <w:rsid w:val="00DB3B55"/>
    <w:rsid w:val="00DB553C"/>
    <w:rsid w:val="00DB5CC0"/>
    <w:rsid w:val="00DB5F9B"/>
    <w:rsid w:val="00DC270E"/>
    <w:rsid w:val="00DD729D"/>
    <w:rsid w:val="00DE0BE5"/>
    <w:rsid w:val="00DE292D"/>
    <w:rsid w:val="00DE3660"/>
    <w:rsid w:val="00DE5895"/>
    <w:rsid w:val="00DE6C98"/>
    <w:rsid w:val="00DE790A"/>
    <w:rsid w:val="00DF1643"/>
    <w:rsid w:val="00DF3509"/>
    <w:rsid w:val="00DF3C2C"/>
    <w:rsid w:val="00DF5327"/>
    <w:rsid w:val="00E01892"/>
    <w:rsid w:val="00E01B94"/>
    <w:rsid w:val="00E029CA"/>
    <w:rsid w:val="00E0406D"/>
    <w:rsid w:val="00E05BA6"/>
    <w:rsid w:val="00E111D1"/>
    <w:rsid w:val="00E12FD0"/>
    <w:rsid w:val="00E160A8"/>
    <w:rsid w:val="00E17A9E"/>
    <w:rsid w:val="00E201BD"/>
    <w:rsid w:val="00E21BAA"/>
    <w:rsid w:val="00E229A8"/>
    <w:rsid w:val="00E22CFA"/>
    <w:rsid w:val="00E25162"/>
    <w:rsid w:val="00E27314"/>
    <w:rsid w:val="00E27F20"/>
    <w:rsid w:val="00E30B71"/>
    <w:rsid w:val="00E3103C"/>
    <w:rsid w:val="00E31831"/>
    <w:rsid w:val="00E33D25"/>
    <w:rsid w:val="00E34226"/>
    <w:rsid w:val="00E34564"/>
    <w:rsid w:val="00E362D1"/>
    <w:rsid w:val="00E3731D"/>
    <w:rsid w:val="00E4277D"/>
    <w:rsid w:val="00E44F8C"/>
    <w:rsid w:val="00E52827"/>
    <w:rsid w:val="00E5422C"/>
    <w:rsid w:val="00E54E5F"/>
    <w:rsid w:val="00E5561F"/>
    <w:rsid w:val="00E562EA"/>
    <w:rsid w:val="00E61B1E"/>
    <w:rsid w:val="00E62852"/>
    <w:rsid w:val="00E63609"/>
    <w:rsid w:val="00E65C98"/>
    <w:rsid w:val="00E66C9B"/>
    <w:rsid w:val="00E7136B"/>
    <w:rsid w:val="00E7226D"/>
    <w:rsid w:val="00E73085"/>
    <w:rsid w:val="00E76FEE"/>
    <w:rsid w:val="00E8289D"/>
    <w:rsid w:val="00E83A34"/>
    <w:rsid w:val="00E8647B"/>
    <w:rsid w:val="00E8668E"/>
    <w:rsid w:val="00E92595"/>
    <w:rsid w:val="00E94EBD"/>
    <w:rsid w:val="00EA2497"/>
    <w:rsid w:val="00EA368F"/>
    <w:rsid w:val="00EA418C"/>
    <w:rsid w:val="00EA5BA8"/>
    <w:rsid w:val="00EB00B0"/>
    <w:rsid w:val="00EB57FA"/>
    <w:rsid w:val="00EB72DE"/>
    <w:rsid w:val="00EC05A8"/>
    <w:rsid w:val="00EC0931"/>
    <w:rsid w:val="00EC56A3"/>
    <w:rsid w:val="00EC78FE"/>
    <w:rsid w:val="00ED022B"/>
    <w:rsid w:val="00ED16EC"/>
    <w:rsid w:val="00ED23D1"/>
    <w:rsid w:val="00ED6B6D"/>
    <w:rsid w:val="00EE19D8"/>
    <w:rsid w:val="00EE2574"/>
    <w:rsid w:val="00EE27D0"/>
    <w:rsid w:val="00EE3850"/>
    <w:rsid w:val="00EE3D00"/>
    <w:rsid w:val="00EE4ECB"/>
    <w:rsid w:val="00EE51EC"/>
    <w:rsid w:val="00EF14E9"/>
    <w:rsid w:val="00EF4B14"/>
    <w:rsid w:val="00EF524A"/>
    <w:rsid w:val="00EF5F4A"/>
    <w:rsid w:val="00F01A63"/>
    <w:rsid w:val="00F0213D"/>
    <w:rsid w:val="00F07BD9"/>
    <w:rsid w:val="00F115FC"/>
    <w:rsid w:val="00F12A5A"/>
    <w:rsid w:val="00F1503E"/>
    <w:rsid w:val="00F15DB1"/>
    <w:rsid w:val="00F2141C"/>
    <w:rsid w:val="00F261B7"/>
    <w:rsid w:val="00F3106D"/>
    <w:rsid w:val="00F371F6"/>
    <w:rsid w:val="00F42F34"/>
    <w:rsid w:val="00F43B13"/>
    <w:rsid w:val="00F51E30"/>
    <w:rsid w:val="00F52703"/>
    <w:rsid w:val="00F575FC"/>
    <w:rsid w:val="00F60F9B"/>
    <w:rsid w:val="00F62479"/>
    <w:rsid w:val="00F63C6B"/>
    <w:rsid w:val="00F63E71"/>
    <w:rsid w:val="00F63E96"/>
    <w:rsid w:val="00F644D3"/>
    <w:rsid w:val="00F66435"/>
    <w:rsid w:val="00F67FDA"/>
    <w:rsid w:val="00F70BCA"/>
    <w:rsid w:val="00F71632"/>
    <w:rsid w:val="00F71A7D"/>
    <w:rsid w:val="00F74C11"/>
    <w:rsid w:val="00F75A50"/>
    <w:rsid w:val="00F76F21"/>
    <w:rsid w:val="00F803AE"/>
    <w:rsid w:val="00F81F5A"/>
    <w:rsid w:val="00F8593B"/>
    <w:rsid w:val="00F862ED"/>
    <w:rsid w:val="00F86462"/>
    <w:rsid w:val="00F87535"/>
    <w:rsid w:val="00F913A8"/>
    <w:rsid w:val="00F914E2"/>
    <w:rsid w:val="00F96CD4"/>
    <w:rsid w:val="00FA0288"/>
    <w:rsid w:val="00FB04F1"/>
    <w:rsid w:val="00FB1C6A"/>
    <w:rsid w:val="00FB330F"/>
    <w:rsid w:val="00FB7486"/>
    <w:rsid w:val="00FC1D38"/>
    <w:rsid w:val="00FC53F1"/>
    <w:rsid w:val="00FC7AC2"/>
    <w:rsid w:val="00FC7BEC"/>
    <w:rsid w:val="00FC7E4C"/>
    <w:rsid w:val="00FD04F7"/>
    <w:rsid w:val="00FD10EA"/>
    <w:rsid w:val="00FD1327"/>
    <w:rsid w:val="00FD34FC"/>
    <w:rsid w:val="00FD3BF2"/>
    <w:rsid w:val="00FD58B0"/>
    <w:rsid w:val="00FE51EA"/>
    <w:rsid w:val="00FE5D15"/>
    <w:rsid w:val="00FE6531"/>
    <w:rsid w:val="00FE6EA3"/>
    <w:rsid w:val="00FE7D41"/>
    <w:rsid w:val="00FF0530"/>
    <w:rsid w:val="00FF0D5A"/>
    <w:rsid w:val="00FF2E72"/>
    <w:rsid w:val="00FF398C"/>
    <w:rsid w:val="00FF3A80"/>
    <w:rsid w:val="00FF7E6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DA93D"/>
  <w15:chartTrackingRefBased/>
  <w15:docId w15:val="{29F02D8D-289C-4447-9B0C-78497951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712C8"/>
    <w:pPr>
      <w:spacing w:after="0" w:line="240" w:lineRule="auto"/>
    </w:pPr>
    <w:rPr>
      <w:rFonts w:ascii="Segoe UI" w:eastAsia="Times New Roman" w:hAnsi="Segoe UI" w:cs="Times New Roman"/>
      <w:sz w:val="20"/>
      <w:szCs w:val="20"/>
    </w:rPr>
  </w:style>
  <w:style w:type="paragraph" w:styleId="Heading1">
    <w:name w:val="heading 1"/>
    <w:basedOn w:val="Normal"/>
    <w:next w:val="FirstParagraph"/>
    <w:link w:val="Heading1Char"/>
    <w:qFormat/>
    <w:rsid w:val="00D712C8"/>
    <w:pPr>
      <w:keepNext/>
      <w:keepLines/>
      <w:spacing w:before="480" w:after="240"/>
      <w:outlineLvl w:val="0"/>
    </w:pPr>
    <w:rPr>
      <w:color w:val="AA322F"/>
      <w:sz w:val="28"/>
    </w:rPr>
  </w:style>
  <w:style w:type="paragraph" w:styleId="Heading2">
    <w:name w:val="heading 2"/>
    <w:basedOn w:val="Normal"/>
    <w:next w:val="FirstParagraph"/>
    <w:link w:val="Heading2Char"/>
    <w:qFormat/>
    <w:rsid w:val="00D712C8"/>
    <w:pPr>
      <w:keepNext/>
      <w:spacing w:before="360" w:after="240"/>
      <w:outlineLvl w:val="1"/>
    </w:pPr>
    <w:rPr>
      <w:color w:val="AA322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12C8"/>
    <w:rPr>
      <w:rFonts w:ascii="Segoe UI" w:eastAsia="Times New Roman" w:hAnsi="Segoe UI" w:cs="Times New Roman"/>
      <w:color w:val="AA322F"/>
      <w:sz w:val="28"/>
      <w:szCs w:val="20"/>
    </w:rPr>
  </w:style>
  <w:style w:type="character" w:customStyle="1" w:styleId="Heading2Char">
    <w:name w:val="Heading 2 Char"/>
    <w:basedOn w:val="DefaultParagraphFont"/>
    <w:link w:val="Heading2"/>
    <w:rsid w:val="00D712C8"/>
    <w:rPr>
      <w:rFonts w:ascii="Segoe UI" w:eastAsia="Times New Roman" w:hAnsi="Segoe UI" w:cs="Times New Roman"/>
      <w:color w:val="AA322F"/>
      <w:sz w:val="24"/>
      <w:szCs w:val="20"/>
    </w:rPr>
  </w:style>
  <w:style w:type="paragraph" w:customStyle="1" w:styleId="Paragraph">
    <w:name w:val="Paragraph"/>
    <w:basedOn w:val="Normal"/>
    <w:link w:val="ParagraphChar"/>
    <w:qFormat/>
    <w:rsid w:val="00D712C8"/>
    <w:pPr>
      <w:spacing w:after="120"/>
      <w:ind w:firstLine="397"/>
      <w:jc w:val="both"/>
    </w:pPr>
  </w:style>
  <w:style w:type="paragraph" w:customStyle="1" w:styleId="BoxNumber">
    <w:name w:val="BoxNumber"/>
    <w:basedOn w:val="Normal"/>
    <w:next w:val="BoxTitle"/>
    <w:rsid w:val="00D712C8"/>
    <w:pPr>
      <w:spacing w:line="240" w:lineRule="exact"/>
      <w:ind w:left="113" w:right="28"/>
      <w:jc w:val="right"/>
    </w:pPr>
    <w:rPr>
      <w:sz w:val="18"/>
    </w:rPr>
  </w:style>
  <w:style w:type="paragraph" w:customStyle="1" w:styleId="BoxTitle">
    <w:name w:val="BoxTitle"/>
    <w:basedOn w:val="Normal"/>
    <w:next w:val="BoxFirstParagraph"/>
    <w:rsid w:val="00D712C8"/>
    <w:pPr>
      <w:keepNext/>
      <w:spacing w:before="240" w:line="240" w:lineRule="exact"/>
      <w:outlineLvl w:val="0"/>
    </w:pPr>
    <w:rPr>
      <w:color w:val="C00000"/>
      <w:sz w:val="24"/>
    </w:rPr>
  </w:style>
  <w:style w:type="paragraph" w:styleId="Header">
    <w:name w:val="header"/>
    <w:basedOn w:val="Normal"/>
    <w:link w:val="HeaderChar"/>
    <w:rsid w:val="00D712C8"/>
    <w:pPr>
      <w:tabs>
        <w:tab w:val="right" w:pos="8845"/>
      </w:tabs>
      <w:spacing w:after="120"/>
      <w:jc w:val="right"/>
    </w:pPr>
  </w:style>
  <w:style w:type="character" w:customStyle="1" w:styleId="HeaderChar">
    <w:name w:val="Header Char"/>
    <w:basedOn w:val="DefaultParagraphFont"/>
    <w:link w:val="Header"/>
    <w:rsid w:val="00D712C8"/>
    <w:rPr>
      <w:rFonts w:ascii="Segoe UI" w:eastAsia="Times New Roman" w:hAnsi="Segoe UI" w:cs="Times New Roman"/>
      <w:sz w:val="20"/>
      <w:szCs w:val="20"/>
    </w:rPr>
  </w:style>
  <w:style w:type="paragraph" w:customStyle="1" w:styleId="ConfidentialityOdd">
    <w:name w:val="ConfidentialityOdd"/>
    <w:basedOn w:val="Normal"/>
    <w:next w:val="Normal"/>
    <w:rsid w:val="00D712C8"/>
    <w:pPr>
      <w:spacing w:after="120"/>
      <w:jc w:val="right"/>
    </w:pPr>
    <w:rPr>
      <w:rFonts w:cs="Arial"/>
      <w:b/>
      <w:bCs/>
      <w:sz w:val="18"/>
    </w:rPr>
  </w:style>
  <w:style w:type="paragraph" w:styleId="Footer">
    <w:name w:val="footer"/>
    <w:basedOn w:val="Normal"/>
    <w:link w:val="FooterChar"/>
    <w:uiPriority w:val="99"/>
    <w:rsid w:val="00D712C8"/>
    <w:pPr>
      <w:tabs>
        <w:tab w:val="center" w:pos="4513"/>
        <w:tab w:val="right" w:pos="9026"/>
      </w:tabs>
    </w:pPr>
  </w:style>
  <w:style w:type="character" w:customStyle="1" w:styleId="FooterChar">
    <w:name w:val="Footer Char"/>
    <w:basedOn w:val="DefaultParagraphFont"/>
    <w:link w:val="Footer"/>
    <w:uiPriority w:val="99"/>
    <w:rsid w:val="00D712C8"/>
    <w:rPr>
      <w:rFonts w:ascii="Segoe UI" w:eastAsia="Times New Roman" w:hAnsi="Segoe UI" w:cs="Times New Roman"/>
      <w:sz w:val="20"/>
      <w:szCs w:val="20"/>
    </w:rPr>
  </w:style>
  <w:style w:type="paragraph" w:customStyle="1" w:styleId="Footerempty">
    <w:name w:val="Footerempty"/>
    <w:basedOn w:val="Footer"/>
    <w:rsid w:val="00D712C8"/>
    <w:pPr>
      <w:tabs>
        <w:tab w:val="clear" w:pos="4513"/>
      </w:tabs>
    </w:pPr>
    <w:rPr>
      <w:color w:val="FFFFFF"/>
      <w:sz w:val="2"/>
    </w:rPr>
  </w:style>
  <w:style w:type="paragraph" w:customStyle="1" w:styleId="FooterPageNumber">
    <w:name w:val="FooterPageNumber"/>
    <w:basedOn w:val="Normal"/>
    <w:rsid w:val="00D712C8"/>
    <w:pPr>
      <w:spacing w:before="120"/>
      <w:jc w:val="right"/>
    </w:pPr>
    <w:rPr>
      <w:sz w:val="15"/>
    </w:rPr>
  </w:style>
  <w:style w:type="character" w:styleId="FootnoteReference">
    <w:name w:val="footnote reference"/>
    <w:uiPriority w:val="99"/>
    <w:rsid w:val="00D712C8"/>
    <w:rPr>
      <w:rFonts w:ascii="Segoe UI" w:hAnsi="Segoe UI" w:cs="Times New Roman"/>
      <w:vertAlign w:val="superscript"/>
    </w:rPr>
  </w:style>
  <w:style w:type="paragraph" w:styleId="FootnoteText">
    <w:name w:val="footnote text"/>
    <w:aliases w:val="Footnote,Fußnote,C26 Footnote body,FSR footnote,lábléc,Footnote Text Char Char,text,Voetnoottekst Char,Voetnoottekst Char1 Char,Voetnoottekst Char Char Char,Footnote Char Char Char,Fußnote Char Char Char,ALTS FOOTNOTE,fn,f,Char"/>
    <w:basedOn w:val="Normal"/>
    <w:link w:val="FootnoteTextChar"/>
    <w:qFormat/>
    <w:rsid w:val="00D712C8"/>
    <w:pPr>
      <w:tabs>
        <w:tab w:val="left" w:pos="397"/>
      </w:tabs>
      <w:spacing w:before="60"/>
      <w:ind w:left="397" w:hanging="397"/>
      <w:jc w:val="both"/>
    </w:pPr>
    <w:rPr>
      <w:sz w:val="16"/>
      <w:lang w:eastAsia="en-GB"/>
    </w:rPr>
  </w:style>
  <w:style w:type="character" w:customStyle="1" w:styleId="FootnoteTextChar">
    <w:name w:val="Footnote Text Char"/>
    <w:aliases w:val="Footnote Char,Fußnote Char,C26 Footnote body Char,FSR footnote Char,lábléc Char,Footnote Text Char Char Char,text Char,Voetnoottekst Char Char,Voetnoottekst Char1 Char Char,Voetnoottekst Char Char Char Char,Fußnote Char Char Char Char"/>
    <w:basedOn w:val="DefaultParagraphFont"/>
    <w:link w:val="FootnoteText"/>
    <w:rsid w:val="00D712C8"/>
    <w:rPr>
      <w:rFonts w:ascii="Segoe UI" w:eastAsia="Times New Roman" w:hAnsi="Segoe UI" w:cs="Times New Roman"/>
      <w:sz w:val="16"/>
      <w:szCs w:val="20"/>
      <w:lang w:eastAsia="en-GB"/>
    </w:rPr>
  </w:style>
  <w:style w:type="character" w:styleId="Hyperlink">
    <w:name w:val="Hyperlink"/>
    <w:uiPriority w:val="99"/>
    <w:rsid w:val="00D712C8"/>
    <w:rPr>
      <w:rFonts w:ascii="Segoe UI" w:hAnsi="Segoe UI" w:cs="Times New Roman"/>
      <w:color w:val="auto"/>
      <w:u w:val="none"/>
    </w:rPr>
  </w:style>
  <w:style w:type="paragraph" w:customStyle="1" w:styleId="IndentedHeading1">
    <w:name w:val="Indented Heading 1"/>
    <w:basedOn w:val="Heading1"/>
    <w:next w:val="FirstParagraph"/>
    <w:qFormat/>
    <w:rsid w:val="00D712C8"/>
    <w:pPr>
      <w:ind w:left="397" w:hanging="397"/>
    </w:pPr>
  </w:style>
  <w:style w:type="character" w:styleId="PageNumber">
    <w:name w:val="page number"/>
    <w:rsid w:val="00D712C8"/>
    <w:rPr>
      <w:rFonts w:ascii="Segoe UI" w:hAnsi="Segoe UI" w:cs="Times New Roman"/>
      <w:sz w:val="15"/>
    </w:rPr>
  </w:style>
  <w:style w:type="paragraph" w:customStyle="1" w:styleId="PubliTitle">
    <w:name w:val="PubliTitle"/>
    <w:basedOn w:val="Normal"/>
    <w:next w:val="FirstParagraph"/>
    <w:rsid w:val="00D712C8"/>
    <w:pPr>
      <w:keepNext/>
      <w:spacing w:after="240"/>
      <w:outlineLvl w:val="0"/>
    </w:pPr>
    <w:rPr>
      <w:color w:val="AA322F"/>
      <w:sz w:val="32"/>
    </w:rPr>
  </w:style>
  <w:style w:type="paragraph" w:customStyle="1" w:styleId="FirstParagraph">
    <w:name w:val="FirstParagraph"/>
    <w:basedOn w:val="Paragraph"/>
    <w:next w:val="Paragraph"/>
    <w:qFormat/>
    <w:rsid w:val="00D712C8"/>
    <w:pPr>
      <w:spacing w:before="120"/>
      <w:ind w:firstLine="0"/>
    </w:pPr>
  </w:style>
  <w:style w:type="character" w:customStyle="1" w:styleId="ParagraphChar">
    <w:name w:val="Paragraph Char"/>
    <w:link w:val="Paragraph"/>
    <w:locked/>
    <w:rsid w:val="00D712C8"/>
    <w:rPr>
      <w:rFonts w:ascii="Segoe UI" w:eastAsia="Times New Roman" w:hAnsi="Segoe UI" w:cs="Times New Roman"/>
      <w:sz w:val="20"/>
      <w:szCs w:val="20"/>
    </w:rPr>
  </w:style>
  <w:style w:type="paragraph" w:customStyle="1" w:styleId="BoxFirstParagraph">
    <w:name w:val="BoxFirstParagraph"/>
    <w:basedOn w:val="Normal"/>
    <w:next w:val="Normal"/>
    <w:rsid w:val="00D712C8"/>
    <w:pPr>
      <w:spacing w:before="240" w:after="120" w:line="240" w:lineRule="exact"/>
      <w:jc w:val="both"/>
    </w:pPr>
    <w:rPr>
      <w:sz w:val="18"/>
    </w:rPr>
  </w:style>
  <w:style w:type="table" w:styleId="TableGrid">
    <w:name w:val="Table Grid"/>
    <w:basedOn w:val="TableNormal"/>
    <w:uiPriority w:val="59"/>
    <w:rsid w:val="00D712C8"/>
    <w:pPr>
      <w:spacing w:after="0" w:line="596" w:lineRule="atLeast"/>
    </w:pPr>
    <w:rPr>
      <w:rFonts w:ascii="Segoe UI" w:eastAsia="Times New Roman" w:hAnsi="Segoe U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Date">
    <w:name w:val="NoteDate"/>
    <w:basedOn w:val="FirstParagraph"/>
    <w:rsid w:val="00D712C8"/>
    <w:pPr>
      <w:spacing w:before="240" w:after="480"/>
      <w:jc w:val="right"/>
    </w:pPr>
  </w:style>
  <w:style w:type="paragraph" w:customStyle="1" w:styleId="MeetingTitle">
    <w:name w:val="MeetingTitle"/>
    <w:basedOn w:val="FirstParagraph"/>
    <w:rsid w:val="00D712C8"/>
    <w:pPr>
      <w:spacing w:before="0" w:after="0"/>
    </w:pPr>
  </w:style>
  <w:style w:type="paragraph" w:customStyle="1" w:styleId="GraphPanelHeading">
    <w:name w:val="GraphPanelHeading"/>
    <w:basedOn w:val="Normal"/>
    <w:link w:val="GraphPanelHeadingChar"/>
    <w:rsid w:val="00D712C8"/>
    <w:pPr>
      <w:spacing w:before="100" w:after="40" w:line="200" w:lineRule="exact"/>
    </w:pPr>
    <w:rPr>
      <w:sz w:val="18"/>
    </w:rPr>
  </w:style>
  <w:style w:type="character" w:customStyle="1" w:styleId="GraphPanelHeadingChar">
    <w:name w:val="GraphPanelHeading Char"/>
    <w:link w:val="GraphPanelHeading"/>
    <w:locked/>
    <w:rsid w:val="00D712C8"/>
    <w:rPr>
      <w:rFonts w:ascii="Segoe UI" w:eastAsia="Times New Roman" w:hAnsi="Segoe UI" w:cs="Times New Roman"/>
      <w:sz w:val="18"/>
      <w:szCs w:val="20"/>
    </w:rPr>
  </w:style>
  <w:style w:type="paragraph" w:customStyle="1" w:styleId="GraphPanelMain">
    <w:name w:val="GraphPanelMain"/>
    <w:basedOn w:val="Normal"/>
    <w:rsid w:val="00D712C8"/>
    <w:pPr>
      <w:ind w:left="-11"/>
    </w:pPr>
    <w:rPr>
      <w:rFonts w:eastAsia="Calibri"/>
      <w:szCs w:val="22"/>
    </w:rPr>
  </w:style>
  <w:style w:type="character" w:customStyle="1" w:styleId="HyperlinkBIS">
    <w:name w:val="HyperlinkBIS"/>
    <w:basedOn w:val="DefaultParagraphFont"/>
    <w:uiPriority w:val="1"/>
    <w:qFormat/>
    <w:rsid w:val="00D712C8"/>
    <w:rPr>
      <w:rFonts w:cs="Segoe UI"/>
      <w:u w:val="single" w:color="929993"/>
      <w:bdr w:val="none" w:sz="0" w:space="0" w:color="auto"/>
    </w:rPr>
  </w:style>
  <w:style w:type="paragraph" w:customStyle="1" w:styleId="GraphMainHeadingSegoeUI">
    <w:name w:val="GraphMainHeading_SegoeUI"/>
    <w:basedOn w:val="Normal"/>
    <w:rsid w:val="00D712C8"/>
    <w:pPr>
      <w:spacing w:before="120" w:after="120"/>
    </w:pPr>
    <w:rPr>
      <w:sz w:val="22"/>
    </w:rPr>
  </w:style>
  <w:style w:type="paragraph" w:customStyle="1" w:styleId="GraphFootnoteSegoeUI">
    <w:name w:val="GraphFootnote_SegoeUI"/>
    <w:basedOn w:val="Normal"/>
    <w:autoRedefine/>
    <w:rsid w:val="00A72C9F"/>
    <w:pPr>
      <w:keepNext/>
      <w:framePr w:hSpace="180" w:vSpace="120" w:wrap="around" w:vAnchor="text" w:hAnchor="text" w:xAlign="right" w:y="121"/>
      <w:pBdr>
        <w:top w:val="single" w:sz="4" w:space="1" w:color="auto"/>
        <w:left w:val="single" w:sz="4" w:space="1" w:color="auto"/>
        <w:bottom w:val="single" w:sz="4" w:space="1" w:color="auto"/>
        <w:right w:val="single" w:sz="4" w:space="1" w:color="auto"/>
      </w:pBdr>
      <w:spacing w:before="60" w:after="120"/>
      <w:suppressOverlap/>
      <w:jc w:val="both"/>
    </w:pPr>
    <w:rPr>
      <w:sz w:val="15"/>
    </w:rPr>
  </w:style>
  <w:style w:type="character" w:customStyle="1" w:styleId="GraphNumberSegoeUIChar">
    <w:name w:val="GraphNumber_SegoeUI Char"/>
    <w:link w:val="GraphNumberSegoeUI"/>
    <w:locked/>
    <w:rsid w:val="00D712C8"/>
    <w:rPr>
      <w:rFonts w:ascii="Segoe UI" w:hAnsi="Segoe UI" w:cs="Segoe UI"/>
      <w:sz w:val="18"/>
    </w:rPr>
  </w:style>
  <w:style w:type="paragraph" w:customStyle="1" w:styleId="GraphNumberSegoeUI">
    <w:name w:val="GraphNumber_SegoeUI"/>
    <w:basedOn w:val="Normal"/>
    <w:link w:val="GraphNumberSegoeUIChar"/>
    <w:rsid w:val="00D712C8"/>
    <w:pPr>
      <w:spacing w:after="120"/>
      <w:jc w:val="right"/>
    </w:pPr>
    <w:rPr>
      <w:rFonts w:eastAsiaTheme="minorHAnsi" w:cs="Segoe UI"/>
      <w:sz w:val="18"/>
      <w:szCs w:val="22"/>
    </w:rPr>
  </w:style>
  <w:style w:type="paragraph" w:customStyle="1" w:styleId="GraphPanelHeadingSegoeUI">
    <w:name w:val="GraphPanelHeading_SegoeUI"/>
    <w:basedOn w:val="Normal"/>
    <w:autoRedefine/>
    <w:rsid w:val="00D712C8"/>
    <w:pPr>
      <w:spacing w:before="100" w:after="40" w:line="200" w:lineRule="exact"/>
    </w:pPr>
    <w:rPr>
      <w:sz w:val="18"/>
    </w:rPr>
  </w:style>
  <w:style w:type="paragraph" w:customStyle="1" w:styleId="TblNumber">
    <w:name w:val="TblNumber"/>
    <w:basedOn w:val="Normal"/>
    <w:rsid w:val="00D712C8"/>
    <w:pPr>
      <w:spacing w:after="120"/>
      <w:jc w:val="right"/>
    </w:pPr>
    <w:rPr>
      <w:sz w:val="18"/>
    </w:rPr>
  </w:style>
  <w:style w:type="paragraph" w:customStyle="1" w:styleId="GraphUnitDescription">
    <w:name w:val="GraphUnitDescription"/>
    <w:basedOn w:val="GraphPanelHeadingSegoeUI"/>
    <w:rsid w:val="00D712C8"/>
    <w:pPr>
      <w:spacing w:before="40" w:after="0" w:line="240" w:lineRule="auto"/>
      <w:ind w:right="28"/>
      <w:jc w:val="right"/>
    </w:pPr>
    <w:rPr>
      <w:color w:val="706F6F"/>
      <w:sz w:val="15"/>
    </w:rPr>
  </w:style>
  <w:style w:type="paragraph" w:customStyle="1" w:styleId="GraphMainSubHeadingSegoeUI">
    <w:name w:val="GraphMainSubHeading_SegoeUI"/>
    <w:basedOn w:val="Normal"/>
    <w:rsid w:val="00D712C8"/>
    <w:pPr>
      <w:spacing w:after="120"/>
    </w:pPr>
    <w:rPr>
      <w:sz w:val="18"/>
    </w:rPr>
  </w:style>
  <w:style w:type="paragraph" w:customStyle="1" w:styleId="BoxParagraph">
    <w:name w:val="BoxParagraph"/>
    <w:basedOn w:val="Normal"/>
    <w:link w:val="BoxParagraphChar"/>
    <w:rsid w:val="00D43D60"/>
    <w:pPr>
      <w:spacing w:after="120" w:line="240" w:lineRule="exact"/>
      <w:ind w:firstLine="397"/>
      <w:jc w:val="both"/>
    </w:pPr>
    <w:rPr>
      <w:sz w:val="18"/>
      <w:lang w:eastAsia="en-GB"/>
    </w:rPr>
  </w:style>
  <w:style w:type="character" w:customStyle="1" w:styleId="BoxParagraphChar">
    <w:name w:val="BoxParagraph Char"/>
    <w:link w:val="BoxParagraph"/>
    <w:locked/>
    <w:rsid w:val="00D43D60"/>
    <w:rPr>
      <w:rFonts w:ascii="Segoe UI" w:eastAsia="Times New Roman" w:hAnsi="Segoe UI" w:cs="Times New Roman"/>
      <w:sz w:val="18"/>
      <w:szCs w:val="20"/>
      <w:lang w:eastAsia="en-GB"/>
    </w:rPr>
  </w:style>
  <w:style w:type="character" w:styleId="CommentReference">
    <w:name w:val="annotation reference"/>
    <w:basedOn w:val="DefaultParagraphFont"/>
    <w:uiPriority w:val="99"/>
    <w:semiHidden/>
    <w:unhideWhenUsed/>
    <w:rsid w:val="008E319F"/>
    <w:rPr>
      <w:sz w:val="16"/>
      <w:szCs w:val="16"/>
    </w:rPr>
  </w:style>
  <w:style w:type="paragraph" w:styleId="CommentText">
    <w:name w:val="annotation text"/>
    <w:basedOn w:val="Normal"/>
    <w:link w:val="CommentTextChar"/>
    <w:uiPriority w:val="99"/>
    <w:semiHidden/>
    <w:unhideWhenUsed/>
    <w:rsid w:val="008E319F"/>
  </w:style>
  <w:style w:type="character" w:customStyle="1" w:styleId="CommentTextChar">
    <w:name w:val="Comment Text Char"/>
    <w:basedOn w:val="DefaultParagraphFont"/>
    <w:link w:val="CommentText"/>
    <w:uiPriority w:val="99"/>
    <w:semiHidden/>
    <w:rsid w:val="008E319F"/>
    <w:rPr>
      <w:rFonts w:ascii="Segoe UI" w:eastAsia="Times New Roman" w:hAnsi="Segoe UI" w:cs="Times New Roman"/>
      <w:sz w:val="20"/>
      <w:szCs w:val="20"/>
    </w:rPr>
  </w:style>
  <w:style w:type="paragraph" w:styleId="CommentSubject">
    <w:name w:val="annotation subject"/>
    <w:basedOn w:val="CommentText"/>
    <w:next w:val="CommentText"/>
    <w:link w:val="CommentSubjectChar"/>
    <w:uiPriority w:val="99"/>
    <w:semiHidden/>
    <w:unhideWhenUsed/>
    <w:rsid w:val="008E319F"/>
    <w:rPr>
      <w:b/>
      <w:bCs/>
    </w:rPr>
  </w:style>
  <w:style w:type="character" w:customStyle="1" w:styleId="CommentSubjectChar">
    <w:name w:val="Comment Subject Char"/>
    <w:basedOn w:val="CommentTextChar"/>
    <w:link w:val="CommentSubject"/>
    <w:uiPriority w:val="99"/>
    <w:semiHidden/>
    <w:rsid w:val="008E319F"/>
    <w:rPr>
      <w:rFonts w:ascii="Segoe UI" w:eastAsia="Times New Roman" w:hAnsi="Segoe UI" w:cs="Times New Roman"/>
      <w:b/>
      <w:bCs/>
      <w:sz w:val="20"/>
      <w:szCs w:val="20"/>
    </w:rPr>
  </w:style>
  <w:style w:type="paragraph" w:styleId="BalloonText">
    <w:name w:val="Balloon Text"/>
    <w:basedOn w:val="Normal"/>
    <w:link w:val="BalloonTextChar"/>
    <w:uiPriority w:val="99"/>
    <w:semiHidden/>
    <w:unhideWhenUsed/>
    <w:rsid w:val="008E319F"/>
    <w:rPr>
      <w:rFonts w:cs="Segoe UI"/>
      <w:sz w:val="18"/>
      <w:szCs w:val="18"/>
    </w:rPr>
  </w:style>
  <w:style w:type="character" w:customStyle="1" w:styleId="BalloonTextChar">
    <w:name w:val="Balloon Text Char"/>
    <w:basedOn w:val="DefaultParagraphFont"/>
    <w:link w:val="BalloonText"/>
    <w:uiPriority w:val="99"/>
    <w:semiHidden/>
    <w:rsid w:val="008E319F"/>
    <w:rPr>
      <w:rFonts w:ascii="Segoe UI" w:eastAsia="Times New Roman" w:hAnsi="Segoe UI" w:cs="Segoe UI"/>
      <w:sz w:val="18"/>
      <w:szCs w:val="18"/>
    </w:rPr>
  </w:style>
  <w:style w:type="paragraph" w:customStyle="1" w:styleId="footnotedescription">
    <w:name w:val="footnote description"/>
    <w:next w:val="Normal"/>
    <w:link w:val="footnotedescriptionChar"/>
    <w:hidden/>
    <w:rsid w:val="005D7A30"/>
    <w:pPr>
      <w:spacing w:after="0"/>
      <w:ind w:left="98" w:firstLine="87"/>
    </w:pPr>
    <w:rPr>
      <w:rFonts w:ascii="Calibri" w:eastAsia="Calibri" w:hAnsi="Calibri" w:cs="Calibri"/>
      <w:color w:val="000000"/>
      <w:sz w:val="18"/>
      <w:lang w:eastAsia="en-GB"/>
    </w:rPr>
  </w:style>
  <w:style w:type="character" w:customStyle="1" w:styleId="footnotedescriptionChar">
    <w:name w:val="footnote description Char"/>
    <w:link w:val="footnotedescription"/>
    <w:rsid w:val="005D7A30"/>
    <w:rPr>
      <w:rFonts w:ascii="Calibri" w:eastAsia="Calibri" w:hAnsi="Calibri" w:cs="Calibri"/>
      <w:color w:val="000000"/>
      <w:sz w:val="18"/>
      <w:lang w:eastAsia="en-GB"/>
    </w:rPr>
  </w:style>
  <w:style w:type="paragraph" w:styleId="Revision">
    <w:name w:val="Revision"/>
    <w:hidden/>
    <w:uiPriority w:val="99"/>
    <w:semiHidden/>
    <w:rsid w:val="00543C55"/>
    <w:pPr>
      <w:spacing w:after="0" w:line="240" w:lineRule="auto"/>
    </w:pPr>
    <w:rPr>
      <w:rFonts w:ascii="Segoe UI" w:eastAsia="Times New Roman" w:hAnsi="Segoe UI" w:cs="Times New Roman"/>
      <w:sz w:val="20"/>
      <w:szCs w:val="20"/>
    </w:rPr>
  </w:style>
  <w:style w:type="character" w:styleId="Emphasis">
    <w:name w:val="Emphasis"/>
    <w:basedOn w:val="DefaultParagraphFont"/>
    <w:uiPriority w:val="20"/>
    <w:qFormat/>
    <w:rsid w:val="002A228A"/>
    <w:rPr>
      <w:i/>
      <w:iCs/>
    </w:rPr>
  </w:style>
  <w:style w:type="paragraph" w:customStyle="1" w:styleId="Default">
    <w:name w:val="Default"/>
    <w:rsid w:val="006850DE"/>
    <w:pPr>
      <w:autoSpaceDE w:val="0"/>
      <w:autoSpaceDN w:val="0"/>
      <w:adjustRightInd w:val="0"/>
      <w:spacing w:after="0" w:line="240" w:lineRule="auto"/>
    </w:pPr>
    <w:rPr>
      <w:rFonts w:ascii="DIN Pro" w:hAnsi="DIN Pro" w:cs="DIN Pro"/>
      <w:color w:val="000000"/>
      <w:sz w:val="24"/>
      <w:szCs w:val="24"/>
    </w:rPr>
  </w:style>
  <w:style w:type="paragraph" w:customStyle="1" w:styleId="Pa0">
    <w:name w:val="Pa0"/>
    <w:basedOn w:val="Default"/>
    <w:next w:val="Default"/>
    <w:uiPriority w:val="99"/>
    <w:rsid w:val="006850DE"/>
    <w:pPr>
      <w:spacing w:line="241" w:lineRule="atLeast"/>
    </w:pPr>
    <w:rPr>
      <w:rFonts w:cstheme="minorBidi"/>
      <w:color w:val="auto"/>
    </w:rPr>
  </w:style>
  <w:style w:type="character" w:customStyle="1" w:styleId="A0">
    <w:name w:val="A0"/>
    <w:uiPriority w:val="99"/>
    <w:rsid w:val="006850DE"/>
    <w:rPr>
      <w:rFonts w:cs="DIN Pro"/>
      <w:color w:val="FFFFFF"/>
      <w:sz w:val="38"/>
      <w:szCs w:val="38"/>
    </w:rPr>
  </w:style>
  <w:style w:type="character" w:styleId="FollowedHyperlink">
    <w:name w:val="FollowedHyperlink"/>
    <w:basedOn w:val="DefaultParagraphFont"/>
    <w:uiPriority w:val="99"/>
    <w:semiHidden/>
    <w:unhideWhenUsed/>
    <w:rsid w:val="00115291"/>
    <w:rPr>
      <w:color w:val="954F72" w:themeColor="followedHyperlink"/>
      <w:u w:val="single"/>
    </w:rPr>
  </w:style>
  <w:style w:type="paragraph" w:styleId="ListParagraph">
    <w:name w:val="List Paragraph"/>
    <w:basedOn w:val="Normal"/>
    <w:uiPriority w:val="34"/>
    <w:qFormat/>
    <w:rsid w:val="00556A31"/>
    <w:pPr>
      <w:ind w:left="720"/>
    </w:pPr>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114206">
      <w:bodyDiv w:val="1"/>
      <w:marLeft w:val="0"/>
      <w:marRight w:val="0"/>
      <w:marTop w:val="0"/>
      <w:marBottom w:val="0"/>
      <w:divBdr>
        <w:top w:val="none" w:sz="0" w:space="0" w:color="auto"/>
        <w:left w:val="none" w:sz="0" w:space="0" w:color="auto"/>
        <w:bottom w:val="none" w:sz="0" w:space="0" w:color="auto"/>
        <w:right w:val="none" w:sz="0" w:space="0" w:color="auto"/>
      </w:divBdr>
    </w:div>
    <w:div w:id="1097676631">
      <w:bodyDiv w:val="1"/>
      <w:marLeft w:val="0"/>
      <w:marRight w:val="0"/>
      <w:marTop w:val="0"/>
      <w:marBottom w:val="0"/>
      <w:divBdr>
        <w:top w:val="none" w:sz="0" w:space="0" w:color="auto"/>
        <w:left w:val="none" w:sz="0" w:space="0" w:color="auto"/>
        <w:bottom w:val="none" w:sz="0" w:space="0" w:color="auto"/>
        <w:right w:val="none" w:sz="0" w:space="0" w:color="auto"/>
      </w:divBdr>
    </w:div>
    <w:div w:id="1159230771">
      <w:bodyDiv w:val="1"/>
      <w:marLeft w:val="0"/>
      <w:marRight w:val="0"/>
      <w:marTop w:val="0"/>
      <w:marBottom w:val="0"/>
      <w:divBdr>
        <w:top w:val="none" w:sz="0" w:space="0" w:color="auto"/>
        <w:left w:val="none" w:sz="0" w:space="0" w:color="auto"/>
        <w:bottom w:val="none" w:sz="0" w:space="0" w:color="auto"/>
        <w:right w:val="none" w:sz="0" w:space="0" w:color="auto"/>
      </w:divBdr>
    </w:div>
    <w:div w:id="1193567943">
      <w:bodyDiv w:val="1"/>
      <w:marLeft w:val="0"/>
      <w:marRight w:val="0"/>
      <w:marTop w:val="0"/>
      <w:marBottom w:val="0"/>
      <w:divBdr>
        <w:top w:val="none" w:sz="0" w:space="0" w:color="auto"/>
        <w:left w:val="none" w:sz="0" w:space="0" w:color="auto"/>
        <w:bottom w:val="none" w:sz="0" w:space="0" w:color="auto"/>
        <w:right w:val="none" w:sz="0" w:space="0" w:color="auto"/>
      </w:divBdr>
    </w:div>
    <w:div w:id="169333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trends.google.com/" TargetMode="External"/><Relationship Id="rId18" Type="http://schemas.openxmlformats.org/officeDocument/2006/relationships/image" Target="media/image6.wmf"/><Relationship Id="rId26" Type="http://schemas.openxmlformats.org/officeDocument/2006/relationships/hyperlink" Target="https://www.snowsoftware.com/blog/how-new-normal-changing-cloud-usage-and-strategy" TargetMode="External"/><Relationship Id="rId3" Type="http://schemas.openxmlformats.org/officeDocument/2006/relationships/customXml" Target="../customXml/item3.xml"/><Relationship Id="rId21" Type="http://schemas.openxmlformats.org/officeDocument/2006/relationships/image" Target="media/image9.wmf"/><Relationship Id="rId7"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5.wmf"/><Relationship Id="rId25" Type="http://schemas.openxmlformats.org/officeDocument/2006/relationships/hyperlink" Target="https://www.iso.org/standard/73906.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wmf"/><Relationship Id="rId20" Type="http://schemas.openxmlformats.org/officeDocument/2006/relationships/image" Target="media/image8.wmf"/><Relationship Id="rId29" Type="http://schemas.openxmlformats.org/officeDocument/2006/relationships/hyperlink" Target="https://www.zdnet.com/article/rdp-and-vpn-use-skyrocketed-since-coronavirus-onse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carnegieendowment.org/files/MITReport-IPRI-CIS-CriticalInfrastructure-2017-Brenner.pdf"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wmf"/><Relationship Id="rId23" Type="http://schemas.openxmlformats.org/officeDocument/2006/relationships/image" Target="media/image10.wmf"/><Relationship Id="rId28" Type="http://schemas.openxmlformats.org/officeDocument/2006/relationships/hyperlink" Target="https://www.bcg.com/publications/2019/global-wealth-reigniting-radical-growth.aspx" TargetMode="External"/><Relationship Id="rId10" Type="http://schemas.openxmlformats.org/officeDocument/2006/relationships/footnotes" Target="footnotes.xml"/><Relationship Id="rId19" Type="http://schemas.openxmlformats.org/officeDocument/2006/relationships/image" Target="media/image7.wmf"/><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wmf"/><Relationship Id="rId22" Type="http://schemas.openxmlformats.org/officeDocument/2006/relationships/hyperlink" Target="http://www.bis.org/basel_framework/chapter/OPE/30.htm?inforce=20191215" TargetMode="External"/><Relationship Id="rId27" Type="http://schemas.openxmlformats.org/officeDocument/2006/relationships/hyperlink" Target="http://www.nist.gov/cyberframework/framework"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nvlpubs.nist.gov/nistpubs/ir/2019/NIST.IR.7298r3.pdf" TargetMode="External"/><Relationship Id="rId2" Type="http://schemas.openxmlformats.org/officeDocument/2006/relationships/hyperlink" Target="https://www.jcs.mil/Portals/36/Documents/Doctrine/pubs/dictionary.pdf" TargetMode="External"/><Relationship Id="rId1" Type="http://schemas.openxmlformats.org/officeDocument/2006/relationships/hyperlink" Target="https://www.fsb.org/wp-content/uploads/P121118-1.pdf" TargetMode="External"/><Relationship Id="rId5" Type="http://schemas.openxmlformats.org/officeDocument/2006/relationships/hyperlink" Target="https://www.ecb.europa.eu/paym/cyber-resilience/tiber-eu/html/index.en.html" TargetMode="External"/><Relationship Id="rId4" Type="http://schemas.openxmlformats.org/officeDocument/2006/relationships/hyperlink" Target="https://www.bankofengland.co.uk/financial-stability/financial-sector-continuityhttps:/www.bankofengland.co.uk/financial-stability/financial-sector-continu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Checked In (Document Id Service)</Name>
    <Synchronization>Synchronous</Synchronization>
    <Type>10004</Type>
    <SequenceNumber>20000</SequenceNumber>
    <Url/>
    <Assembly>Bis.CollaborationPlatform.SharePoint.Services, Version=15.2.0.0, Culture=neutral, PublicKeyToken=334ed2d369ac9e80</Assembly>
    <Class>Bis.CollaborationPlatform.SharePoint.Services.Events.DocumentEventReceiver</Class>
    <Data/>
    <Filter/>
  </Receiver>
  <Receiver>
    <Name>Document Updated (Document Id Service)</Name>
    <Synchronization>Synchronous</Synchronization>
    <Type>10002</Type>
    <SequenceNumber>20001</SequenceNumber>
    <Url/>
    <Assembly>Bis.CollaborationPlatform.SharePoint.Services, Version=15.2.0.0, Culture=neutral, PublicKeyToken=334ed2d369ac9e80</Assembly>
    <Class>Bis.CollaborationPlatform.SharePoint.Services.Events.DocumentEventReceiver</Class>
    <Data/>
    <Filter/>
  </Receiver>
  <Receiver>
    <Name>Document Adding (Document Id Service)</Name>
    <Synchronization>Synchronous</Synchronization>
    <Type>1</Type>
    <SequenceNumber>20002</SequenceNumber>
    <Url/>
    <Assembly>Bis.CollaborationPlatform.SharePoint.Services, Version=15.2.0.0, Culture=neutral, PublicKeyToken=334ed2d369ac9e80</Assembly>
    <Class>Bis.CollaborationPlatform.SharePoint.Services.Events.DocumentEventReceiver</Class>
    <Data/>
    <Filter/>
  </Receiver>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i-monthly Note" ma:contentTypeID="0x01010066E6577C753B40CABFD9C9409CB523E5007CD6BEFA375B584FBD8F47108C56042D0200D2AC379F1E2BBD4A9CAEC5E630FB12D9" ma:contentTypeVersion="30" ma:contentTypeDescription="" ma:contentTypeScope="" ma:versionID="007ef931cfe7ae181795991b7972dbdf">
  <xsd:schema xmlns:xsd="http://www.w3.org/2001/XMLSchema" xmlns:xs="http://www.w3.org/2001/XMLSchema" xmlns:p="http://schemas.microsoft.com/office/2006/metadata/properties" xmlns:ns2="ff9999fe-ec29-402c-9447-55c192678b00" xmlns:ns3="c685c02d-175e-4684-a238-2cda8c435111" xmlns:ns4="http://schemas.microsoft.com/sharepoint/v4" targetNamespace="http://schemas.microsoft.com/office/2006/metadata/properties" ma:root="true" ma:fieldsID="b0b5bd70932b58163db6328b9162ac5b" ns2:_="" ns3:_="" ns4:_="">
    <xsd:import namespace="ff9999fe-ec29-402c-9447-55c192678b00"/>
    <xsd:import namespace="c685c02d-175e-4684-a238-2cda8c435111"/>
    <xsd:import namespace="http://schemas.microsoft.com/sharepoint/v4"/>
    <xsd:element name="properties">
      <xsd:complexType>
        <xsd:sequence>
          <xsd:element name="documentManagement">
            <xsd:complexType>
              <xsd:all>
                <xsd:element ref="ns2:BisDocumentDate" minOccurs="0"/>
                <xsd:element ref="ns2:BisPermalink" minOccurs="0"/>
                <xsd:element ref="ns3:Stage" minOccurs="0"/>
                <xsd:element ref="ns3:Meeting_x0020_Name" minOccurs="0"/>
                <xsd:element ref="ns3:BimonthlyTopic" minOccurs="0"/>
                <xsd:element ref="ns3:Room" minOccurs="0"/>
                <xsd:element ref="ns3:BimonthlyStartDate" minOccurs="0"/>
                <xsd:element ref="ns3:BimonthlyEndDate" minOccurs="0"/>
                <xsd:element ref="ns3:BimonthlyLocation" minOccurs="0"/>
                <xsd:element ref="ns3:EventID" minOccurs="0"/>
                <xsd:element ref="ns3:ForeBIS" minOccurs="0"/>
                <xsd:element ref="ns3:Record" minOccurs="0"/>
                <xsd:element ref="ns3:BisMeetingNameLookup" minOccurs="0"/>
                <xsd:element ref="ns3:BisMeetingNameText" minOccurs="0"/>
                <xsd:element ref="ns3:BisContactPerson" minOccurs="0"/>
                <xsd:element ref="ns3:Chair_x002f_Host" minOccurs="0"/>
                <xsd:element ref="ns3:Meeting_x0020_Format" minOccurs="0"/>
                <xsd:element ref="ns3:Written_x0020_Procedure" minOccurs="0"/>
                <xsd:element ref="ns2:BisAdditionalLinks" minOccurs="0"/>
                <xsd:element ref="ns3:BisAuthorssTaxHTField0" minOccurs="0"/>
                <xsd:element ref="ns2:IsMyDocuments" minOccurs="0"/>
                <xsd:element ref="ns3:NamedRA" minOccurs="0"/>
                <xsd:element ref="ns3:NamedAuthor" minOccurs="0"/>
                <xsd:element ref="ns3:BisDocumentStatus" minOccurs="0"/>
                <xsd:element ref="ns3:BisDocumentTypeTaxHTField0" minOccurs="0"/>
                <xsd:element ref="ns3:_dlc_DocId" minOccurs="0"/>
                <xsd:element ref="ns3:TaxKeywordTaxHTField" minOccurs="0"/>
                <xsd:element ref="ns4:IconOverlay" minOccurs="0"/>
                <xsd:element ref="ns3:_dlc_DocIdUrl" minOccurs="0"/>
                <xsd:element ref="ns3:_dlc_DocIdPersistId" minOccurs="0"/>
                <xsd:element ref="ns2:BisTransmission" minOccurs="0"/>
                <xsd:element ref="ns2:BisRetention" minOccurs="0"/>
                <xsd:element ref="ns3:kf05a41f864e484380e6646dd089b91b" minOccurs="0"/>
                <xsd:element ref="ns2:BisConfidentiality" minOccurs="0"/>
                <xsd:element ref="ns2:BisInstitutionTaxHTField0" minOccurs="0"/>
                <xsd:element ref="ns3:TaxCatchAll" minOccurs="0"/>
                <xsd:element ref="ns2:BisCurrentVersion" minOccurs="0"/>
                <xsd:element ref="ns2:BisRecipients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9999fe-ec29-402c-9447-55c192678b00" elementFormDefault="qualified">
    <xsd:import namespace="http://schemas.microsoft.com/office/2006/documentManagement/types"/>
    <xsd:import namespace="http://schemas.microsoft.com/office/infopath/2007/PartnerControls"/>
    <xsd:element name="BisDocumentDate" ma:index="2" nillable="true" ma:displayName="Document Date" ma:default="[today]" ma:description="The document date associated with the container or item." ma:format="DateOnly" ma:internalName="BisDocumentDate">
      <xsd:simpleType>
        <xsd:restriction base="dms:DateTime"/>
      </xsd:simpleType>
    </xsd:element>
    <xsd:element name="BisPermalink" ma:index="3" nillable="true" ma:displayName="Permalink" ma:description="The permanent link to the document." ma:format="Hyperlink" ma:hidden="true" ma:internalName="BisPermalink">
      <xsd:complexType>
        <xsd:complexContent>
          <xsd:extension base="dms:URL">
            <xsd:sequence>
              <xsd:element name="Url" type="dms:ValidUrl" minOccurs="0" nillable="true"/>
              <xsd:element name="Description" type="xsd:string" nillable="true"/>
            </xsd:sequence>
          </xsd:extension>
        </xsd:complexContent>
      </xsd:complexType>
    </xsd:element>
    <xsd:element name="BisAdditionalLinks" ma:index="25" nillable="true" ma:displayName="Links" ma:description="Provides an easy way to copy various links of an item." ma:hidden="true" ma:internalName="BisAdditionalLinks">
      <xsd:simpleType>
        <xsd:restriction base="dms:Text"/>
      </xsd:simpleType>
    </xsd:element>
    <xsd:element name="IsMyDocuments" ma:index="28" nillable="true" ma:displayName="Is My Documents" ma:default="0" ma:description="This field is added to all BIS contenttypes to allow files and folders from MySite to be copied/moved to Bis Document Libraries" ma:hidden="true" ma:internalName="IsMyDocuments" ma:readOnly="false">
      <xsd:simpleType>
        <xsd:restriction base="dms:Boolean"/>
      </xsd:simpleType>
    </xsd:element>
    <xsd:element name="BisTransmission" ma:index="41" nillable="true" ma:displayName="Transmission" ma:default="Internal" ma:description="The transmission associated with the container or item." ma:format="Dropdown" ma:hidden="true" ma:internalName="BisTransmission" ma:readOnly="false">
      <xsd:simpleType>
        <xsd:restriction base="dms:Choice">
          <xsd:enumeration value="Incoming"/>
          <xsd:enumeration value="Internal"/>
          <xsd:enumeration value="Outgoing"/>
        </xsd:restriction>
      </xsd:simpleType>
    </xsd:element>
    <xsd:element name="BisRetention" ma:index="42" nillable="true" ma:displayName="Retention" ma:default="Permanent" ma:description="The retention period associated with the container or item (applied when the item archived)." ma:format="Dropdown" ma:hidden="true" ma:internalName="BisRetention" ma:readOnly="false">
      <xsd:simpleType>
        <xsd:restriction base="dms:Choice">
          <xsd:enumeration value="Routine"/>
          <xsd:enumeration value="Compliance"/>
          <xsd:enumeration value="Permanent"/>
          <xsd:enumeration value="Unknown"/>
        </xsd:restriction>
      </xsd:simpleType>
    </xsd:element>
    <xsd:element name="BisConfidentiality" ma:index="45" nillable="true" ma:displayName="Confidentiality" ma:default="Confidential" ma:description="The confidentiality of the document in a Document Library." ma:format="Dropdown" ma:hidden="true" ma:internalName="BisConfidentiality" ma:readOnly="false">
      <xsd:simpleType>
        <xsd:restriction base="dms:Choice">
          <xsd:enumeration value="Public"/>
          <xsd:enumeration value="Restricted"/>
          <xsd:enumeration value="Confidential"/>
        </xsd:restriction>
      </xsd:simpleType>
    </xsd:element>
    <xsd:element name="BisInstitutionTaxHTField0" ma:index="46" nillable="true" ma:taxonomy="true" ma:internalName="BisInstitutionTaxHTField0" ma:taxonomyFieldName="BisInstitution" ma:displayName="Institution" ma:readOnly="false" ma:fieldId="{35f4c919-cca5-4807-8085-d895c74d72a0}" ma:taxonomyMulti="true" ma:sspId="218490a2-a8bd-4701-ac03-3028876db9c3" ma:termSetId="69f701bf-a3ed-40c8-acf8-dd2a2400442d" ma:anchorId="00000000-0000-0000-0000-000000000000" ma:open="false" ma:isKeyword="false">
      <xsd:complexType>
        <xsd:sequence>
          <xsd:element ref="pc:Terms" minOccurs="0" maxOccurs="1"/>
        </xsd:sequence>
      </xsd:complexType>
    </xsd:element>
    <xsd:element name="BisCurrentVersion" ma:index="50" nillable="true" ma:displayName="Current Version" ma:description="The current version of the document." ma:hidden="true" ma:internalName="BisCurrentVersion" ma:readOnly="false">
      <xsd:simpleType>
        <xsd:restriction base="dms:Text"/>
      </xsd:simpleType>
    </xsd:element>
    <xsd:element name="BisRecipientsTaxHTField0" ma:index="51" nillable="true" ma:taxonomy="true" ma:internalName="BisRecipientsTaxHTField0" ma:taxonomyFieldName="BisRecipients" ma:displayName="Recipients" ma:readOnly="false" ma:fieldId="{e7fea616-6871-49b2-95f5-be5c1d92eabc}" ma:taxonomyMulti="true" ma:sspId="218490a2-a8bd-4701-ac03-3028876db9c3" ma:termSetId="f60d76a3-74ac-4579-8d83-fa03eb287a3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685c02d-175e-4684-a238-2cda8c435111" elementFormDefault="qualified">
    <xsd:import namespace="http://schemas.microsoft.com/office/2006/documentManagement/types"/>
    <xsd:import namespace="http://schemas.microsoft.com/office/infopath/2007/PartnerControls"/>
    <xsd:element name="Stage" ma:index="6" nillable="true" ma:displayName="Stage" ma:default="Created" ma:format="Dropdown" ma:internalName="Stage" ma:readOnly="false">
      <xsd:simpleType>
        <xsd:restriction base="dms:Choice">
          <xsd:enumeration value="Created"/>
          <xsd:enumeration value="Outline"/>
          <xsd:enumeration value="Draft"/>
          <xsd:enumeration value="First Manuscript"/>
          <xsd:enumeration value="Final Manuscript"/>
          <xsd:enumeration value="Author Sign Off"/>
          <xsd:enumeration value="Editing"/>
          <xsd:enumeration value="Final Document"/>
        </xsd:restriction>
      </xsd:simpleType>
    </xsd:element>
    <xsd:element name="Meeting_x0020_Name" ma:index="8" nillable="true" ma:displayName="Meeting Name" ma:list="{9b3a0339-117a-47a3-ac73-941badab3947}" ma:internalName="Meeting_x0020_Name" ma:readOnly="false" ma:showField="Meeting_x0020_Name" ma:web="c685c02d-175e-4684-a238-2cda8c435111">
      <xsd:simpleType>
        <xsd:restriction base="dms:Lookup"/>
      </xsd:simpleType>
    </xsd:element>
    <xsd:element name="BimonthlyTopic" ma:index="9" nillable="true" ma:displayName="Meeting Topic" ma:internalName="BimonthlyTopic" ma:readOnly="false">
      <xsd:simpleType>
        <xsd:restriction base="dms:Text">
          <xsd:maxLength value="255"/>
        </xsd:restriction>
      </xsd:simpleType>
    </xsd:element>
    <xsd:element name="Room" ma:index="10" nillable="true" ma:displayName="Room" ma:internalName="Room" ma:readOnly="false">
      <xsd:simpleType>
        <xsd:restriction base="dms:Text">
          <xsd:maxLength value="255"/>
        </xsd:restriction>
      </xsd:simpleType>
    </xsd:element>
    <xsd:element name="BimonthlyStartDate" ma:index="11" nillable="true" ma:displayName="Meeting Start Date" ma:default="[today]" ma:format="DateTime" ma:internalName="BimonthlyStartDate" ma:readOnly="false">
      <xsd:simpleType>
        <xsd:restriction base="dms:DateTime"/>
      </xsd:simpleType>
    </xsd:element>
    <xsd:element name="BimonthlyEndDate" ma:index="12" nillable="true" ma:displayName="Meeting End Date" ma:default="[today]" ma:format="DateTime" ma:internalName="BimonthlyEndDate" ma:readOnly="false">
      <xsd:simpleType>
        <xsd:restriction base="dms:DateTime"/>
      </xsd:simpleType>
    </xsd:element>
    <xsd:element name="BimonthlyLocation" ma:index="14" nillable="true" ma:displayName="Meeting Location" ma:default="Basel, Switzerland" ma:description="Enter location: for example Basel, Switzerland" ma:internalName="BimonthlyLocation" ma:readOnly="false">
      <xsd:simpleType>
        <xsd:restriction base="dms:Text">
          <xsd:maxLength value="255"/>
        </xsd:restriction>
      </xsd:simpleType>
    </xsd:element>
    <xsd:element name="EventID" ma:index="15" nillable="true" ma:displayName="Event ID" ma:internalName="EventID" ma:readOnly="false">
      <xsd:simpleType>
        <xsd:restriction base="dms:Text">
          <xsd:maxLength value="255"/>
        </xsd:restriction>
      </xsd:simpleType>
    </xsd:element>
    <xsd:element name="ForeBIS" ma:index="17" nillable="true" ma:displayName="For eBIS" ma:default="0" ma:internalName="ForeBIS" ma:readOnly="false">
      <xsd:simpleType>
        <xsd:restriction base="dms:Boolean"/>
      </xsd:simpleType>
    </xsd:element>
    <xsd:element name="Record" ma:index="18" nillable="true" ma:displayName="Record" ma:default="1" ma:description="Declare document as a record?" ma:internalName="Record" ma:readOnly="false">
      <xsd:simpleType>
        <xsd:restriction base="dms:Boolean"/>
      </xsd:simpleType>
    </xsd:element>
    <xsd:element name="BisMeetingNameLookup" ma:index="19" nillable="true" ma:displayName="BisMeetingNameLookup" ma:list="{9b3a0339-117a-47a3-ac73-941badab3947}" ma:internalName="BisMeetingNameLookup" ma:readOnly="false" ma:showField="BisMeetingName" ma:web="c685c02d-175e-4684-a238-2cda8c435111">
      <xsd:simpleType>
        <xsd:restriction base="dms:Lookup"/>
      </xsd:simpleType>
    </xsd:element>
    <xsd:element name="BisMeetingNameText" ma:index="20" nillable="true" ma:displayName="BisMeetingNameText" ma:internalName="BisMeetingNameText" ma:readOnly="false">
      <xsd:simpleType>
        <xsd:restriction base="dms:Text">
          <xsd:maxLength value="255"/>
        </xsd:restriction>
      </xsd:simpleType>
    </xsd:element>
    <xsd:element name="BisContactPerson" ma:index="21" nillable="true" ma:displayName="Contact Person" ma:list="UserInfo" ma:SharePointGroup="0" ma:internalName="BisContactPerson"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hair_x002f_Host" ma:index="22" nillable="true" ma:displayName="Chair/Host" ma:internalName="Chair_x002F_Host" ma:readOnly="false">
      <xsd:simpleType>
        <xsd:restriction base="dms:Text">
          <xsd:maxLength value="255"/>
        </xsd:restriction>
      </xsd:simpleType>
    </xsd:element>
    <xsd:element name="Meeting_x0020_Format" ma:index="23" nillable="true" ma:displayName="Meeting Format" ma:format="Dropdown" ma:internalName="Meeting_x0020_Format" ma:readOnly="false">
      <xsd:simpleType>
        <xsd:restriction base="dms:Choice">
          <xsd:enumeration value="Face to Face"/>
          <xsd:enumeration value="Teleconference"/>
          <xsd:enumeration value="Video Conference"/>
        </xsd:restriction>
      </xsd:simpleType>
    </xsd:element>
    <xsd:element name="Written_x0020_Procedure" ma:index="24" nillable="true" ma:displayName="Written Procedure" ma:default="0" ma:internalName="Written_x0020_Procedure" ma:readOnly="false">
      <xsd:simpleType>
        <xsd:restriction base="dms:Boolean"/>
      </xsd:simpleType>
    </xsd:element>
    <xsd:element name="BisAuthorssTaxHTField0" ma:index="26" nillable="true" ma:taxonomy="true" ma:internalName="BisAuthorssTaxHTField0" ma:taxonomyFieldName="BisAuthors" ma:displayName="Author" ma:readOnly="false" ma:fieldId="{0b3121bf-a404-47f3-89a2-8100c52bbe6e}" ma:sspId="218490a2-a8bd-4701-ac03-3028876db9c3" ma:termSetId="f60d76a3-74ac-4579-8d83-fa03eb287a33" ma:anchorId="349201b0-55be-4fd0-a41a-985dc4cfdf31" ma:open="false" ma:isKeyword="false">
      <xsd:complexType>
        <xsd:sequence>
          <xsd:element ref="pc:Terms" minOccurs="0" maxOccurs="1"/>
        </xsd:sequence>
      </xsd:complexType>
    </xsd:element>
    <xsd:element name="NamedRA" ma:index="30" nillable="true" ma:displayName="Named RA" ma:hidden="true" ma:SearchPeopleOnly="false" ma:SharePointGroup="0" ma:internalName="NamedRA"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amedAuthor" ma:index="31" nillable="true" ma:displayName="Named Author" ma:hidden="true" ma:SearchPeopleOnly="false" ma:SharePointGroup="0" ma:internalName="NamedAutho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isDocumentStatus" ma:index="33" nillable="true" ma:displayName="Document Status" ma:default="With Coordinator" ma:format="Dropdown" ma:hidden="true" ma:internalName="BisDocumentStatus" ma:readOnly="false">
      <xsd:simpleType>
        <xsd:restriction base="dms:Choice">
          <xsd:enumeration value="With Coordinator"/>
          <xsd:enumeration value="With Author"/>
          <xsd:enumeration value="With Peer"/>
          <xsd:enumeration value="With Editor"/>
          <xsd:enumeration value="Final"/>
        </xsd:restriction>
      </xsd:simpleType>
    </xsd:element>
    <xsd:element name="BisDocumentTypeTaxHTField0" ma:index="34" nillable="true" ma:taxonomy="true" ma:internalName="BisDocumentTypeTaxHTField0" ma:taxonomyFieldName="BisDocumentType" ma:displayName="Document Type" ma:readOnly="false" ma:fieldId="{3d4bd279-eb4d-4358-a57b-72096c80fdc3}" ma:sspId="218490a2-a8bd-4701-ac03-3028876db9c3" ma:termSetId="f0cb95e7-3db9-47fc-88a4-89326bc60752" ma:anchorId="c786001b-2301-4abe-adca-015d172bb848" ma:open="false" ma:isKeyword="false">
      <xsd:complexType>
        <xsd:sequence>
          <xsd:element ref="pc:Terms" minOccurs="0" maxOccurs="1"/>
        </xsd:sequence>
      </xsd:complexType>
    </xsd:element>
    <xsd:element name="_dlc_DocId" ma:index="35" nillable="true" ma:displayName="Document ID Value" ma:description="The value of the document ID assigned to this item." ma:internalName="_dlc_DocId" ma:readOnly="true">
      <xsd:simpleType>
        <xsd:restriction base="dms:Text"/>
      </xsd:simpleType>
    </xsd:element>
    <xsd:element name="TaxKeywordTaxHTField" ma:index="36" nillable="true" ma:taxonomy="true" ma:internalName="TaxKeywordTaxHTField" ma:taxonomyFieldName="TaxKeyword" ma:displayName="Enterprise Keywords" ma:readOnly="false" ma:fieldId="{23f27201-bee3-471e-b2e7-b64fd8b7ca38}" ma:taxonomyMulti="true" ma:sspId="218490a2-a8bd-4701-ac03-3028876db9c3" ma:termSetId="00000000-0000-0000-0000-000000000000" ma:anchorId="00000000-0000-0000-0000-000000000000" ma:open="true" ma:isKeyword="true">
      <xsd:complexType>
        <xsd:sequence>
          <xsd:element ref="pc:Terms" minOccurs="0" maxOccurs="1"/>
        </xsd:sequence>
      </xsd:complexType>
    </xsd:element>
    <xsd:element name="_dlc_DocIdUrl" ma:index="3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9" nillable="true" ma:displayName="Persist ID" ma:description="Keep ID on add." ma:hidden="true" ma:internalName="_dlc_DocIdPersistId" ma:readOnly="false">
      <xsd:simpleType>
        <xsd:restriction base="dms:Boolean"/>
      </xsd:simpleType>
    </xsd:element>
    <xsd:element name="kf05a41f864e484380e6646dd089b91b" ma:index="43" nillable="true" ma:taxonomy="true" ma:internalName="kf05a41f864e484380e6646dd089b91b" ma:taxonomyFieldName="Committee" ma:displayName="Committee" ma:readOnly="false" ma:fieldId="{4f05a41f-864e-4843-80e6-646dd089b91b}" ma:sspId="218490a2-a8bd-4701-ac03-3028876db9c3" ma:termSetId="da4ab67d-f19d-47af-bc42-28adf7b82f7d" ma:anchorId="00000000-0000-0000-0000-000000000000" ma:open="false" ma:isKeyword="false">
      <xsd:complexType>
        <xsd:sequence>
          <xsd:element ref="pc:Terms" minOccurs="0" maxOccurs="1"/>
        </xsd:sequence>
      </xsd:complexType>
    </xsd:element>
    <xsd:element name="TaxCatchAll" ma:index="49" nillable="true" ma:displayName="Taxonomy Catch All Column" ma:description="" ma:hidden="true" ma:list="{9b718bef-51b0-4f69-b3c8-f29d228f8b57}" ma:internalName="TaxCatchAll" ma:readOnly="false" ma:showField="CatchAllData" ma:web="c685c02d-175e-4684-a238-2cda8c43511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7" nillable="true" ma:displayName="IconOverlay" ma:hidden="true" ma:internalName="IconOverlay"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oom xmlns="c685c02d-175e-4684-a238-2cda8c435111">Room D</Room>
    <BimonthlyLocation xmlns="c685c02d-175e-4684-a238-2cda8c435111">Basel, Switzerland</BimonthlyLocation>
    <BisDocumentTypeTaxHTField0 xmlns="c685c02d-175e-4684-a238-2cda8c435111">
      <Terms xmlns="http://schemas.microsoft.com/office/infopath/2007/PartnerControls">
        <TermInfo xmlns="http://schemas.microsoft.com/office/infopath/2007/PartnerControls">
          <TermName xmlns="http://schemas.microsoft.com/office/infopath/2007/PartnerControls">Note</TermName>
          <TermId xmlns="http://schemas.microsoft.com/office/infopath/2007/PartnerControls">99958262-f014-4afa-8a74-0c9731c6e4fe</TermId>
        </TermInfo>
      </Terms>
    </BisDocumentTypeTaxHTField0>
    <TaxCatchAll xmlns="c685c02d-175e-4684-a238-2cda8c435111">
      <Value>61</Value>
      <Value>77</Value>
      <Value>59</Value>
      <Value>58</Value>
      <Value>176</Value>
      <Value>107</Value>
      <Value>106</Value>
      <Value>54</Value>
      <Value>104</Value>
      <Value>105</Value>
    </TaxCatchAll>
    <IconOverlay xmlns="http://schemas.microsoft.com/sharepoint/v4" xsi:nil="true"/>
    <BimonthlyStartDate xmlns="c685c02d-175e-4684-a238-2cda8c435111">2020-09-07T11:00:00+00:00</BimonthlyStartDate>
    <TaxKeywordTaxHTField xmlns="c685c02d-175e-4684-a238-2cda8c435111">
      <Terms xmlns="http://schemas.microsoft.com/office/infopath/2007/PartnerControls">
        <TermInfo xmlns="http://schemas.microsoft.com/office/infopath/2007/PartnerControls">
          <TermName xmlns="http://schemas.microsoft.com/office/infopath/2007/PartnerControls">Meeting</TermName>
          <TermId xmlns="http://schemas.microsoft.com/office/infopath/2007/PartnerControls">67c45d8a-ff74-42ca-ab2e-07b0cabe5cb7</TermId>
        </TermInfo>
        <TermInfo xmlns="http://schemas.microsoft.com/office/infopath/2007/PartnerControls">
          <TermName xmlns="http://schemas.microsoft.com/office/infopath/2007/PartnerControls">Bimonthly</TermName>
          <TermId xmlns="http://schemas.microsoft.com/office/infopath/2007/PartnerControls">06000996-5767-44fd-9b9f-5c1a2fc2a1bf</TermId>
        </TermInfo>
        <TermInfo xmlns="http://schemas.microsoft.com/office/infopath/2007/PartnerControls">
          <TermName xmlns="http://schemas.microsoft.com/office/infopath/2007/PartnerControls">All_Governors_Meeting_(All_Govs)</TermName>
          <TermId xmlns="http://schemas.microsoft.com/office/infopath/2007/PartnerControls">ccbf2226-a128-42dd-a76f-b1b45ea7a575</TermId>
        </TermInfo>
        <TermInfo xmlns="http://schemas.microsoft.com/office/infopath/2007/PartnerControls">
          <TermName xmlns="http://schemas.microsoft.com/office/infopath/2007/PartnerControls">September</TermName>
          <TermId xmlns="http://schemas.microsoft.com/office/infopath/2007/PartnerControls">ca132ea8-a06a-4187-8592-313b306266de</TermId>
        </TermInfo>
        <TermInfo xmlns="http://schemas.microsoft.com/office/infopath/2007/PartnerControls">
          <TermName xmlns="http://schemas.microsoft.com/office/infopath/2007/PartnerControls">2020</TermName>
          <TermId xmlns="http://schemas.microsoft.com/office/infopath/2007/PartnerControls">435e4a1f-0fa0-4680-b58c-f9236244067e</TermId>
        </TermInfo>
      </Terms>
    </TaxKeywordTaxHTField>
    <BimonthlyTopic xmlns="c685c02d-175e-4684-a238-2cda8c435111">Cyber Security</BimonthlyTopic>
    <BimonthlyEndDate xmlns="c685c02d-175e-4684-a238-2cda8c435111">2020-09-07T12:30:00+00:00</BimonthlyEndDate>
    <kf05a41f864e484380e6646dd089b91b xmlns="c685c02d-175e-4684-a238-2cda8c435111">
      <Terms xmlns="http://schemas.microsoft.com/office/infopath/2007/PartnerControls"/>
    </kf05a41f864e484380e6646dd089b91b>
    <Meeting_x0020_Name xmlns="c685c02d-175e-4684-a238-2cda8c435111">2</Meeting_x0020_Name>
    <_dlc_DocIdPersistId xmlns="c685c02d-175e-4684-a238-2cda8c435111">true</_dlc_DocIdPersistId>
    <EventID xmlns="c685c02d-175e-4684-a238-2cda8c435111" xsi:nil="true"/>
    <BisAuthorssTaxHTField0 xmlns="c685c02d-175e-4684-a238-2cda8c435111">
      <Terms xmlns="http://schemas.microsoft.com/office/infopath/2007/PartnerControls">
        <TermInfo xmlns="http://schemas.microsoft.com/office/infopath/2007/PartnerControls">
          <TermName xmlns="http://schemas.microsoft.com/office/infopath/2007/PartnerControls">le001843</TermName>
          <TermId xmlns="http://schemas.microsoft.com/office/infopath/2007/PartnerControls">74185870-c2fb-487f-873a-5a8c83b904af</TermId>
        </TermInfo>
        <TermInfo xmlns="http://schemas.microsoft.com/office/infopath/2007/PartnerControls">
          <TermName xmlns="http://schemas.microsoft.com/office/infopath/2007/PartnerControls">jo004088</TermName>
          <TermId xmlns="http://schemas.microsoft.com/office/infopath/2007/PartnerControls">5f7f9a6f-04b9-430b-afdf-89d1975e8e2d</TermId>
        </TermInfo>
        <TermInfo xmlns="http://schemas.microsoft.com/office/infopath/2007/PartnerControls">
          <TermName xmlns="http://schemas.microsoft.com/office/infopath/2007/PartnerControls">in003757</TermName>
          <TermId xmlns="http://schemas.microsoft.com/office/infopath/2007/PartnerControls">2e0e82bf-8289-4eff-a1fd-cb1702be62ac</TermId>
        </TermInfo>
        <TermInfo xmlns="http://schemas.microsoft.com/office/infopath/2007/PartnerControls">
          <TermName xmlns="http://schemas.microsoft.com/office/infopath/2007/PartnerControls">da003596</TermName>
          <TermId xmlns="http://schemas.microsoft.com/office/infopath/2007/PartnerControls">2acccefb-67ca-4ec3-94d3-ed1daa58563a</TermId>
        </TermInfo>
      </Terms>
    </BisAuthorssTaxHTField0>
    <_dlc_DocId xmlns="c685c02d-175e-4684-a238-2cda8c435111">10222f81-2452-4e5d-980d-bd3c676f12be-0.77</_dlc_DocId>
    <_dlc_DocIdUrl xmlns="c685c02d-175e-4684-a238-2cda8c435111">
      <Url>https://sp.bisinfo.org/sites/bi-monthly/2020-09/_layouts/15/DocIdRedir.aspx?ID=10222f81-2452-4e5d-980d-bd3c676f12be-0.77</Url>
      <Description>10222f81-2452-4e5d-980d-bd3c676f12be-0.77</Description>
    </_dlc_DocIdUrl>
    <BisMeetingNameLookup xmlns="c685c02d-175e-4684-a238-2cda8c435111" xsi:nil="true"/>
    <Record xmlns="c685c02d-175e-4684-a238-2cda8c435111">false</Record>
    <Stage xmlns="c685c02d-175e-4684-a238-2cda8c435111">Draft</Stage>
    <ForeBIS xmlns="c685c02d-175e-4684-a238-2cda8c435111">false</ForeBIS>
    <BisMeetingNameText xmlns="c685c02d-175e-4684-a238-2cda8c435111" xsi:nil="true"/>
    <NamedAuthor xmlns="c685c02d-175e-4684-a238-2cda8c435111">
      <UserInfo>
        <DisplayName/>
        <AccountId xsi:nil="true"/>
        <AccountType/>
      </UserInfo>
    </NamedAuthor>
    <BisDocumentStatus xmlns="c685c02d-175e-4684-a238-2cda8c435111">With Coordinator</BisDocumentStatus>
    <NamedRA xmlns="c685c02d-175e-4684-a238-2cda8c435111">
      <UserInfo>
        <DisplayName/>
        <AccountId xsi:nil="true"/>
        <AccountType/>
      </UserInfo>
    </NamedRA>
    <Written_x0020_Procedure xmlns="c685c02d-175e-4684-a238-2cda8c435111">false</Written_x0020_Procedure>
    <Chair_x002f_Host xmlns="c685c02d-175e-4684-a238-2cda8c435111">Jens Weidmann</Chair_x002f_Host>
    <BisContactPerson xmlns="c685c02d-175e-4684-a238-2cda8c435111">
      <UserInfo>
        <DisplayName>Vogel, Janis</DisplayName>
        <AccountId>41</AccountId>
        <AccountType/>
      </UserInfo>
      <UserInfo>
        <DisplayName>Claessens, Stijn</DisplayName>
        <AccountId>75</AccountId>
        <AccountType/>
      </UserInfo>
    </BisContactPerson>
    <Meeting_x0020_Format xmlns="c685c02d-175e-4684-a238-2cda8c435111">Video Conference</Meeting_x0020_Format>
    <BisInstitutionTaxHTField0 xmlns="ff9999fe-ec29-402c-9447-55c192678b00">
      <Terms xmlns="http://schemas.microsoft.com/office/infopath/2007/PartnerControls"/>
    </BisInstitutionTaxHTField0>
    <BisPermalink xmlns="ff9999fe-ec29-402c-9447-55c192678b00">
      <Url>https://sp.bisinfo.org/sites/bi-monthly/2020-09/_layouts/15/Bis/Permalink.aspx?DocId=10222f81-2452-4e5d-980d-bd3c676f12be-0.76&amp;Version=0.77</Url>
      <Description>10222f81-2452-4e5d-980d-bd3c676f12be-0.76</Description>
    </BisPermalink>
    <IsMyDocuments xmlns="ff9999fe-ec29-402c-9447-55c192678b00">false</IsMyDocuments>
    <BisTransmission xmlns="ff9999fe-ec29-402c-9447-55c192678b00">Internal</BisTransmission>
    <BisCurrentVersion xmlns="ff9999fe-ec29-402c-9447-55c192678b00">0.77</BisCurrentVersion>
    <BisRecipientsTaxHTField0 xmlns="ff9999fe-ec29-402c-9447-55c192678b00">
      <Terms xmlns="http://schemas.microsoft.com/office/infopath/2007/PartnerControls"/>
    </BisRecipientsTaxHTField0>
    <BisAdditionalLinks xmlns="ff9999fe-ec29-402c-9447-55c192678b00" xsi:nil="true"/>
    <BisRetention xmlns="ff9999fe-ec29-402c-9447-55c192678b00">Permanent</BisRetention>
    <BisConfidentiality xmlns="ff9999fe-ec29-402c-9447-55c192678b00">Confidential</BisConfidentiality>
    <BisDocumentDate xmlns="ff9999fe-ec29-402c-9447-55c192678b00">2020-02-06T23:00:00+00:00</BisDocumentDat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738CA-DB29-45A3-8DD6-DF572CA4533A}">
  <ds:schemaRefs>
    <ds:schemaRef ds:uri="http://schemas.microsoft.com/sharepoint/events"/>
  </ds:schemaRefs>
</ds:datastoreItem>
</file>

<file path=customXml/itemProps2.xml><?xml version="1.0" encoding="utf-8"?>
<ds:datastoreItem xmlns:ds="http://schemas.openxmlformats.org/officeDocument/2006/customXml" ds:itemID="{5D7C5A05-A5E9-4047-AB52-5ADC42C9B555}">
  <ds:schemaRefs>
    <ds:schemaRef ds:uri="http://schemas.microsoft.com/sharepoint/v3/contenttype/forms"/>
  </ds:schemaRefs>
</ds:datastoreItem>
</file>

<file path=customXml/itemProps3.xml><?xml version="1.0" encoding="utf-8"?>
<ds:datastoreItem xmlns:ds="http://schemas.openxmlformats.org/officeDocument/2006/customXml" ds:itemID="{5B1FF91B-14DE-4D33-8F31-82CFE3E0D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9999fe-ec29-402c-9447-55c192678b00"/>
    <ds:schemaRef ds:uri="c685c02d-175e-4684-a238-2cda8c435111"/>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B57895-A609-4CB3-8907-531AEDEBC93A}">
  <ds:schemaRefs>
    <ds:schemaRef ds:uri="http://schemas.microsoft.com/office/2006/metadata/properties"/>
    <ds:schemaRef ds:uri="http://schemas.microsoft.com/office/infopath/2007/PartnerControls"/>
    <ds:schemaRef ds:uri="c685c02d-175e-4684-a238-2cda8c435111"/>
    <ds:schemaRef ds:uri="http://schemas.microsoft.com/sharepoint/v4"/>
    <ds:schemaRef ds:uri="ff9999fe-ec29-402c-9447-55c192678b00"/>
  </ds:schemaRefs>
</ds:datastoreItem>
</file>

<file path=customXml/itemProps5.xml><?xml version="1.0" encoding="utf-8"?>
<ds:datastoreItem xmlns:ds="http://schemas.openxmlformats.org/officeDocument/2006/customXml" ds:itemID="{73D464BE-0FED-42B6-85ED-669C549CF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4870</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2020 September- All Governors Note - Cyber risk in the financial sector</vt:lpstr>
    </vt:vector>
  </TitlesOfParts>
  <Company>BIS</Company>
  <LinksUpToDate>false</LinksUpToDate>
  <CharactersWithSpaces>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September- All Governors Note - Cyber risk in the financial sector</dc:title>
  <dc:subject/>
  <dc:creator>Frost, Jon</dc:creator>
  <cp:keywords>All_Governors_Meeting_(All_Govs); Bimonthly; 2020; Meeting; September</cp:keywords>
  <dc:description/>
  <cp:lastModifiedBy>Gambacorta, Leonardo</cp:lastModifiedBy>
  <cp:revision>6</cp:revision>
  <cp:lastPrinted>2020-10-16T16:05:00Z</cp:lastPrinted>
  <dcterms:created xsi:type="dcterms:W3CDTF">2020-10-23T06:14:00Z</dcterms:created>
  <dcterms:modified xsi:type="dcterms:W3CDTF">2020-10-23T10:20:00Z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0x01010066E6577C753B40CABFD9C9409CB523E5007CD6BEFA375B584FBD8F47108C56042D0200D2AC379F1E2BBD4A9CAEC5E630FB12D9</vt:lpwstr>
  </property>
  <property fmtid="{D5CDD505-2E9C-101B-9397-08002B2CF9AE}" pid="3" name="Committee">
    <vt:lpwstr/>
  </property>
  <property fmtid="{D5CDD505-2E9C-101B-9397-08002B2CF9AE}" pid="4" name="_dlc_DocIdItemGuid">
    <vt:lpwstr>11d7e333-6ae8-4043-9e2f-ccb0b7a12ba8</vt:lpwstr>
  </property>
  <property fmtid="{D5CDD505-2E9C-101B-9397-08002B2CF9AE}" pid="5" name="BisDocumentType">
    <vt:lpwstr>77;#Note|99958262-f014-4afa-8a74-0c9731c6e4fe</vt:lpwstr>
  </property>
  <property fmtid="{D5CDD505-2E9C-101B-9397-08002B2CF9AE}" pid="6" name="BisInstitution">
    <vt:lpwstr/>
  </property>
  <property fmtid="{D5CDD505-2E9C-101B-9397-08002B2CF9AE}" pid="7" name="BisRecipients">
    <vt:lpwstr/>
  </property>
  <property fmtid="{D5CDD505-2E9C-101B-9397-08002B2CF9AE}" pid="8" name="BisAuthors">
    <vt:lpwstr>104;#le001843|74185870-c2fb-487f-873a-5a8c83b904af;#105;#jo004088|5f7f9a6f-04b9-430b-afdf-89d1975e8e2d;#106;#in003757|2e0e82bf-8289-4eff-a1fd-cb1702be62ac;#107;#da003596|2acccefb-67ca-4ec3-94d3-ed1daa58563a</vt:lpwstr>
  </property>
  <property fmtid="{D5CDD505-2E9C-101B-9397-08002B2CF9AE}" pid="9" name="TaxKeyword">
    <vt:lpwstr>59;#Meeting|67c45d8a-ff74-42ca-ab2e-07b0cabe5cb7;#58;#Bimonthly|06000996-5767-44fd-9b9f-5c1a2fc2a1bf;#54;#All_Governors_Meeting_(All_Govs)|ccbf2226-a128-42dd-a76f-b1b45ea7a575;#176;#September|ca132ea8-a06a-4187-8592-313b306266de;#61;#2020|435e4a1f-0fa0-46</vt:lpwstr>
  </property>
</Properties>
</file>