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drawing>
          <wp:inline xmlns:a="http://schemas.openxmlformats.org/drawingml/2006/main" xmlns:pic="http://schemas.openxmlformats.org/drawingml/2006/picture">
            <wp:extent cx="2514600" cy="775019"/>
            <wp:docPr id="1" name="Picture 1" descr="Voyage Tech logo"/>
            <wp:cNvGraphicFramePr>
              <a:graphicFrameLocks noChangeAspect="1"/>
            </wp:cNvGraphicFramePr>
            <a:graphic>
              <a:graphicData uri="http://schemas.openxmlformats.org/drawingml/2006/picture">
                <pic:pic>
                  <pic:nvPicPr>
                    <pic:cNvPr id="0" name="Voyagetech.png"/>
                    <pic:cNvPicPr/>
                  </pic:nvPicPr>
                  <pic:blipFill>
                    <a:blip r:embed="rId11"/>
                    <a:stretch>
                      <a:fillRect/>
                    </a:stretch>
                  </pic:blipFill>
                  <pic:spPr>
                    <a:xfrm>
                      <a:off x="0" y="0"/>
                      <a:ext cx="2514600" cy="775019"/>
                    </a:xfrm>
                    <a:prstGeom prst="rect"/>
                  </pic:spPr>
                </pic:pic>
              </a:graphicData>
            </a:graphic>
          </wp:inline>
        </w:drawing>
      </w:r>
    </w:p>
    <w:p>
      <w:pPr>
        <w:spacing w:after="40"/>
      </w:pPr>
      <w:r>
        <w:rPr>
          <w:rFonts w:ascii="Calibri" w:hAnsi="Calibri"/>
          <w:b/>
          <w:i w:val="0"/>
          <w:color w:val="125A98"/>
          <w:sz w:val="20"/>
        </w:rPr>
        <w:t>COMMERCIAL QUOTATION</w:t>
      </w:r>
    </w:p>
    <w:p>
      <w:pPr>
        <w:spacing w:after="140"/>
      </w:pPr>
      <w:r>
        <w:rPr>
          <w:rFonts w:ascii="Calibri" w:hAnsi="Calibri"/>
          <w:b/>
          <w:i w:val="0"/>
          <w:color w:val="0A3154"/>
          <w:sz w:val="54"/>
        </w:rPr>
        <w:t>Zimbabwe Shipping Mobile Apps</w:t>
      </w:r>
    </w:p>
    <w:p>
      <w:pPr>
        <w:spacing w:after="400"/>
      </w:pPr>
      <w:r>
        <w:rPr>
          <w:rFonts w:ascii="Calibri" w:hAnsi="Calibri"/>
          <w:b w:val="0"/>
          <w:i w:val="0"/>
          <w:color w:val="607080"/>
          <w:sz w:val="28"/>
        </w:rPr>
        <w:t>Customer app + staff operations app</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100" w:type="dxa"/>
              <w:start w:w="140" w:type="dxa"/>
              <w:bottom w:w="100" w:type="dxa"/>
              <w:end w:w="140" w:type="dxa"/>
            </w:tcMar>
            <w:vAlign w:val="center"/>
            <w:shd w:fill="F5F8FB"/>
            <w:tcBorders>
              <w:top w:val="single" w:sz="5" w:color="CCD8E3"/>
              <w:left w:val="single" w:sz="5" w:color="CCD8E3"/>
              <w:bottom w:val="single" w:sz="5" w:color="CCD8E3"/>
              <w:right w:val="single" w:sz="5" w:color="CCD8E3"/>
            </w:tcBorders>
          </w:tcPr>
          <w:p>
            <w:pPr>
              <w:spacing w:after="0" w:line="252" w:lineRule="auto"/>
            </w:pPr>
            <w:r>
              <w:rPr>
                <w:rFonts w:ascii="Calibri" w:hAnsi="Calibri"/>
                <w:b/>
                <w:i w:val="0"/>
                <w:color w:val="607080"/>
                <w:sz w:val="17"/>
              </w:rPr>
              <w:t>PREPARED FOR</w:t>
              <w:br/>
            </w:r>
            <w:r>
              <w:rPr>
                <w:rFonts w:ascii="Calibri" w:hAnsi="Calibri"/>
                <w:b/>
                <w:i w:val="0"/>
                <w:color w:val="172534"/>
                <w:sz w:val="21"/>
              </w:rPr>
              <w:t>Zimbabwe Shipping</w:t>
            </w:r>
          </w:p>
        </w:tc>
        <w:tc>
          <w:tcPr>
            <w:tcW w:type="dxa" w:w="4680"/>
            <w:tcMar>
              <w:top w:w="100" w:type="dxa"/>
              <w:start w:w="140" w:type="dxa"/>
              <w:bottom w:w="100" w:type="dxa"/>
              <w:end w:w="140" w:type="dxa"/>
            </w:tcMar>
            <w:vAlign w:val="center"/>
            <w:shd w:fill="F5F8FB"/>
            <w:tcBorders>
              <w:top w:val="single" w:sz="5" w:color="CCD8E3"/>
              <w:left w:val="single" w:sz="5" w:color="CCD8E3"/>
              <w:bottom w:val="single" w:sz="5" w:color="CCD8E3"/>
              <w:right w:val="single" w:sz="5" w:color="CCD8E3"/>
            </w:tcBorders>
          </w:tcPr>
          <w:p>
            <w:pPr>
              <w:spacing w:after="0" w:line="252" w:lineRule="auto"/>
            </w:pPr>
            <w:r>
              <w:rPr>
                <w:rFonts w:ascii="Calibri" w:hAnsi="Calibri"/>
                <w:b/>
                <w:i w:val="0"/>
                <w:color w:val="607080"/>
                <w:sz w:val="17"/>
              </w:rPr>
              <w:t>PREPARED BY</w:t>
              <w:br/>
            </w:r>
            <w:r>
              <w:rPr>
                <w:rFonts w:ascii="Calibri" w:hAnsi="Calibri"/>
                <w:b/>
                <w:i w:val="0"/>
                <w:color w:val="172534"/>
                <w:sz w:val="21"/>
              </w:rPr>
              <w:t>Voyage Tech</w:t>
            </w:r>
          </w:p>
        </w:tc>
      </w:tr>
      <w:tr>
        <w:tc>
          <w:tcPr>
            <w:tcW w:type="dxa" w:w="4680"/>
            <w:tcMar>
              <w:top w:w="100" w:type="dxa"/>
              <w:start w:w="140" w:type="dxa"/>
              <w:bottom w:w="100" w:type="dxa"/>
              <w:end w:w="140" w:type="dxa"/>
            </w:tcMar>
            <w:vAlign w:val="center"/>
            <w:shd w:fill="F5F8FB"/>
            <w:tcBorders>
              <w:top w:val="single" w:sz="5" w:color="CCD8E3"/>
              <w:left w:val="single" w:sz="5" w:color="CCD8E3"/>
              <w:bottom w:val="single" w:sz="5" w:color="CCD8E3"/>
              <w:right w:val="single" w:sz="5" w:color="CCD8E3"/>
            </w:tcBorders>
          </w:tcPr>
          <w:p>
            <w:pPr>
              <w:spacing w:after="0" w:line="252" w:lineRule="auto"/>
            </w:pPr>
            <w:r>
              <w:rPr>
                <w:rFonts w:ascii="Calibri" w:hAnsi="Calibri"/>
                <w:b/>
                <w:i w:val="0"/>
                <w:color w:val="607080"/>
                <w:sz w:val="17"/>
              </w:rPr>
              <w:t>QUOTATION NUMBER</w:t>
              <w:br/>
            </w:r>
            <w:r>
              <w:rPr>
                <w:rFonts w:ascii="Calibri" w:hAnsi="Calibri"/>
                <w:b/>
                <w:i w:val="0"/>
                <w:color w:val="172534"/>
                <w:sz w:val="21"/>
              </w:rPr>
              <w:t>VT-ZS-2026-0716</w:t>
            </w:r>
          </w:p>
        </w:tc>
        <w:tc>
          <w:tcPr>
            <w:tcW w:type="dxa" w:w="4680"/>
            <w:tcMar>
              <w:top w:w="100" w:type="dxa"/>
              <w:start w:w="140" w:type="dxa"/>
              <w:bottom w:w="100" w:type="dxa"/>
              <w:end w:w="140" w:type="dxa"/>
            </w:tcMar>
            <w:vAlign w:val="center"/>
            <w:shd w:fill="F5F8FB"/>
            <w:tcBorders>
              <w:top w:val="single" w:sz="5" w:color="CCD8E3"/>
              <w:left w:val="single" w:sz="5" w:color="CCD8E3"/>
              <w:bottom w:val="single" w:sz="5" w:color="CCD8E3"/>
              <w:right w:val="single" w:sz="5" w:color="CCD8E3"/>
            </w:tcBorders>
          </w:tcPr>
          <w:p>
            <w:pPr>
              <w:spacing w:after="0" w:line="252" w:lineRule="auto"/>
            </w:pPr>
            <w:r>
              <w:rPr>
                <w:rFonts w:ascii="Calibri" w:hAnsi="Calibri"/>
                <w:b/>
                <w:i w:val="0"/>
                <w:color w:val="607080"/>
                <w:sz w:val="17"/>
              </w:rPr>
              <w:t>DATE / VALIDITY</w:t>
              <w:br/>
            </w:r>
            <w:r>
              <w:rPr>
                <w:rFonts w:ascii="Calibri" w:hAnsi="Calibri"/>
                <w:b/>
                <w:i w:val="0"/>
                <w:color w:val="172534"/>
                <w:sz w:val="21"/>
              </w:rPr>
              <w:t>16 July 2026 / 30 days</w:t>
            </w:r>
          </w:p>
        </w:tc>
      </w:tr>
    </w:tbl>
    <w:p>
      <w:pPr>
        <w:spacing w:after="40"/>
      </w:pPr>
    </w:p>
    <w:p>
      <w:pPr>
        <w:pStyle w:val="Heading1"/>
        <w:keepNext/>
      </w:pPr>
      <w:r>
        <w:t>Project overview</w:t>
      </w:r>
    </w:p>
    <w:p>
      <w:pPr>
        <w:spacing w:after="120" w:line="264" w:lineRule="auto"/>
      </w:pPr>
      <w:r>
        <w:rPr>
          <w:rFonts w:ascii="Calibri" w:hAnsi="Calibri"/>
          <w:b w:val="0"/>
          <w:i w:val="0"/>
          <w:color w:val="172534"/>
          <w:sz w:val="21"/>
        </w:rPr>
        <w:t>Voyage Tech proposes the design, development, integration, testing and release preparation of two connected mobile applications for Zimbabwe Shipping. The customer app will make booking and tracking simple, while the staff app will give administrators, finance teams and drivers the tools needed to manage daily operations from mobile devices.</w:t>
      </w:r>
    </w:p>
    <w:tbl>
      <w:tblPr>
        <w:tblW w:type="dxa" w:w="9360"/>
        <w:jc w:val="left"/>
        <w:tblLayout w:type="fixed"/>
        <w:tblLook w:firstColumn="1" w:firstRow="1" w:lastColumn="0" w:lastRow="0" w:noHBand="0" w:noVBand="1" w:val="04A0"/>
        <w:tblInd w:w="120" w:type="dxa"/>
      </w:tblPr>
      <w:tblGrid>
        <w:gridCol w:w="6100"/>
        <w:gridCol w:w="3260"/>
      </w:tblGrid>
      <w:tr>
        <w:tc>
          <w:tcPr>
            <w:tcW w:type="dxa" w:w="6100"/>
            <w:tcMar>
              <w:top w:w="100" w:type="dxa"/>
              <w:start w:w="140" w:type="dxa"/>
              <w:bottom w:w="100" w:type="dxa"/>
              <w:end w:w="140" w:type="dxa"/>
            </w:tcMar>
            <w:vAlign w:val="center"/>
            <w:shd w:fill="EAF3FA"/>
          </w:tcPr>
          <w:p>
            <w:pPr>
              <w:spacing w:after="0" w:line="252" w:lineRule="auto"/>
            </w:pPr>
            <w:r>
              <w:rPr>
                <w:rFonts w:ascii="Calibri" w:hAnsi="Calibri"/>
                <w:b/>
                <w:i w:val="0"/>
                <w:color w:val="607080"/>
                <w:sz w:val="17"/>
              </w:rPr>
              <w:t>COMPLETE TWO-APP IMPLEMENTATION</w:t>
              <w:br/>
            </w:r>
            <w:r>
              <w:rPr>
                <w:rFonts w:ascii="Calibri" w:hAnsi="Calibri"/>
                <w:b/>
                <w:i w:val="0"/>
                <w:color w:val="0A3154"/>
                <w:sz w:val="24"/>
              </w:rPr>
              <w:t>Fixed project investment</w:t>
            </w:r>
          </w:p>
        </w:tc>
        <w:tc>
          <w:tcPr>
            <w:tcW w:type="dxa" w:w="3260"/>
            <w:tcMar>
              <w:top w:w="100" w:type="dxa"/>
              <w:start w:w="140" w:type="dxa"/>
              <w:bottom w:w="100" w:type="dxa"/>
              <w:end w:w="140" w:type="dxa"/>
            </w:tcMar>
            <w:vAlign w:val="center"/>
            <w:shd w:fill="125A98"/>
          </w:tcPr>
          <w:p>
            <w:pPr>
              <w:spacing w:after="0"/>
              <w:jc w:val="right"/>
            </w:pPr>
            <w:r>
              <w:rPr>
                <w:rFonts w:ascii="Calibri" w:hAnsi="Calibri"/>
                <w:b/>
                <w:i w:val="0"/>
                <w:color w:val="FFFFFF"/>
                <w:sz w:val="18"/>
              </w:rPr>
              <w:t>USD</w:t>
              <w:br/>
            </w:r>
            <w:r>
              <w:rPr>
                <w:rFonts w:ascii="Calibri" w:hAnsi="Calibri"/>
                <w:b/>
                <w:i w:val="0"/>
                <w:color w:val="FFFFFF"/>
                <w:sz w:val="40"/>
              </w:rPr>
              <w:t>$1,199.99</w:t>
            </w:r>
          </w:p>
        </w:tc>
      </w:tr>
    </w:tbl>
    <w:p>
      <w:pPr>
        <w:spacing w:after="20"/>
      </w:pPr>
    </w:p>
    <w:p>
      <w:pPr>
        <w:spacing w:after="80" w:line="264" w:lineRule="auto"/>
      </w:pPr>
      <w:r>
        <w:rPr>
          <w:rFonts w:ascii="Calibri" w:hAnsi="Calibri"/>
          <w:b w:val="0"/>
          <w:i/>
          <w:color w:val="172534"/>
          <w:sz w:val="21"/>
        </w:rPr>
        <w:t>Recommended ongoing service: $149.99 per month after launch. This covers hosting oversight, monitoring, backups, maintenance and a monthly allowance for minor updates.</w:t>
      </w:r>
    </w:p>
    <w:p>
      <w:r>
        <w:br w:type="page"/>
      </w:r>
    </w:p>
    <w:p>
      <w:pPr>
        <w:pStyle w:val="Heading1"/>
        <w:keepNext/>
      </w:pPr>
      <w:r>
        <w:t>1. Customer mobile app</w:t>
      </w:r>
    </w:p>
    <w:p>
      <w:pPr>
        <w:spacing w:after="120" w:line="264" w:lineRule="auto"/>
      </w:pPr>
      <w:r>
        <w:rPr>
          <w:rFonts w:ascii="Calibri" w:hAnsi="Calibri"/>
          <w:b w:val="0"/>
          <w:i w:val="0"/>
          <w:color w:val="172534"/>
          <w:sz w:val="21"/>
        </w:rPr>
        <w:t>A simple, customer-focused application for people shipping goods between the United Kingdom and Zimbabwe.</w:t>
      </w:r>
    </w:p>
    <w:p>
      <w:pPr>
        <w:keepNext/>
        <w:spacing w:before="140" w:after="60"/>
      </w:pPr>
      <w:r>
        <w:rPr>
          <w:rFonts w:ascii="Calibri" w:hAnsi="Calibri"/>
          <w:b/>
          <w:i w:val="0"/>
          <w:color w:val="125A98"/>
          <w:sz w:val="22"/>
        </w:rPr>
        <w:t>Account and customer experience</w:t>
      </w:r>
    </w:p>
    <w:p>
      <w:pPr>
        <w:pStyle w:val="ListBullet"/>
        <w:spacing w:after="80" w:line="264" w:lineRule="auto"/>
        <w:ind w:left="720" w:hanging="360"/>
      </w:pPr>
      <w:r>
        <w:rPr>
          <w:rFonts w:ascii="Calibri" w:hAnsi="Calibri"/>
          <w:b w:val="0"/>
          <w:i w:val="0"/>
          <w:color w:val="172534"/>
          <w:sz w:val="20"/>
        </w:rPr>
        <w:t>Secure registration, sign-in, profile management and password recovery.</w:t>
      </w:r>
    </w:p>
    <w:p>
      <w:pPr>
        <w:pStyle w:val="ListBullet"/>
        <w:spacing w:after="80" w:line="264" w:lineRule="auto"/>
        <w:ind w:left="720" w:hanging="360"/>
      </w:pPr>
      <w:r>
        <w:rPr>
          <w:rFonts w:ascii="Calibri" w:hAnsi="Calibri"/>
          <w:b w:val="0"/>
          <w:i w:val="0"/>
          <w:color w:val="172534"/>
          <w:sz w:val="20"/>
        </w:rPr>
        <w:t>Personal dashboard with greeting, recent activity and quick actions.</w:t>
      </w:r>
    </w:p>
    <w:p>
      <w:pPr>
        <w:pStyle w:val="ListBullet"/>
        <w:spacing w:after="80" w:line="264" w:lineRule="auto"/>
        <w:ind w:left="720" w:hanging="360"/>
      </w:pPr>
      <w:r>
        <w:rPr>
          <w:rFonts w:ascii="Calibri" w:hAnsi="Calibri"/>
          <w:b w:val="0"/>
          <w:i w:val="0"/>
          <w:color w:val="172534"/>
          <w:sz w:val="20"/>
        </w:rPr>
        <w:t>Saved sender, receiver, collection and delivery details.</w:t>
      </w:r>
    </w:p>
    <w:p>
      <w:pPr>
        <w:keepNext/>
        <w:spacing w:before="140" w:after="60"/>
      </w:pPr>
      <w:r>
        <w:rPr>
          <w:rFonts w:ascii="Calibri" w:hAnsi="Calibri"/>
          <w:b/>
          <w:i w:val="0"/>
          <w:color w:val="125A98"/>
          <w:sz w:val="22"/>
        </w:rPr>
        <w:t>Shipment booking and quotations</w:t>
      </w:r>
    </w:p>
    <w:p>
      <w:pPr>
        <w:pStyle w:val="ListBullet"/>
        <w:spacing w:after="80" w:line="264" w:lineRule="auto"/>
        <w:ind w:left="720" w:hanging="360"/>
      </w:pPr>
      <w:r>
        <w:rPr>
          <w:rFonts w:ascii="Calibri" w:hAnsi="Calibri"/>
          <w:b w:val="0"/>
          <w:i w:val="0"/>
          <w:color w:val="172534"/>
          <w:sz w:val="20"/>
        </w:rPr>
        <w:t>Step-by-step shipment booking for collection and delivery requirements.</w:t>
      </w:r>
    </w:p>
    <w:p>
      <w:pPr>
        <w:pStyle w:val="ListBullet"/>
        <w:spacing w:after="80" w:line="264" w:lineRule="auto"/>
        <w:ind w:left="720" w:hanging="360"/>
      </w:pPr>
      <w:r>
        <w:rPr>
          <w:rFonts w:ascii="Calibri" w:hAnsi="Calibri"/>
          <w:b w:val="0"/>
          <w:i w:val="0"/>
          <w:color w:val="172534"/>
          <w:sz w:val="20"/>
        </w:rPr>
        <w:t>Route, package, service and address capture with input validation.</w:t>
      </w:r>
    </w:p>
    <w:p>
      <w:pPr>
        <w:pStyle w:val="ListBullet"/>
        <w:spacing w:after="80" w:line="264" w:lineRule="auto"/>
        <w:ind w:left="720" w:hanging="360"/>
      </w:pPr>
      <w:r>
        <w:rPr>
          <w:rFonts w:ascii="Calibri" w:hAnsi="Calibri"/>
          <w:b w:val="0"/>
          <w:i w:val="0"/>
          <w:color w:val="172534"/>
          <w:sz w:val="20"/>
        </w:rPr>
        <w:t>Instant standard pricing and custom quotation requests where required.</w:t>
      </w:r>
    </w:p>
    <w:p>
      <w:pPr>
        <w:pStyle w:val="ListBullet"/>
        <w:spacing w:after="80" w:line="264" w:lineRule="auto"/>
        <w:ind w:left="720" w:hanging="360"/>
      </w:pPr>
      <w:r>
        <w:rPr>
          <w:rFonts w:ascii="Calibri" w:hAnsi="Calibri"/>
          <w:b w:val="0"/>
          <w:i w:val="0"/>
          <w:color w:val="172534"/>
          <w:sz w:val="20"/>
        </w:rPr>
        <w:t>Booking confirmation, reference number and booking history.</w:t>
      </w:r>
    </w:p>
    <w:p>
      <w:pPr>
        <w:keepNext/>
        <w:spacing w:before="140" w:after="60"/>
      </w:pPr>
      <w:r>
        <w:rPr>
          <w:rFonts w:ascii="Calibri" w:hAnsi="Calibri"/>
          <w:b/>
          <w:i w:val="0"/>
          <w:color w:val="125A98"/>
          <w:sz w:val="22"/>
        </w:rPr>
        <w:t>Tracking and communication</w:t>
      </w:r>
    </w:p>
    <w:p>
      <w:pPr>
        <w:pStyle w:val="ListBullet"/>
        <w:spacing w:after="80" w:line="264" w:lineRule="auto"/>
        <w:ind w:left="720" w:hanging="360"/>
      </w:pPr>
      <w:r>
        <w:rPr>
          <w:rFonts w:ascii="Calibri" w:hAnsi="Calibri"/>
          <w:b w:val="0"/>
          <w:i w:val="0"/>
          <w:color w:val="172534"/>
          <w:sz w:val="20"/>
        </w:rPr>
        <w:t>Shipment tracking by reference number with a clear status timeline.</w:t>
      </w:r>
    </w:p>
    <w:p>
      <w:pPr>
        <w:pStyle w:val="ListBullet"/>
        <w:spacing w:after="80" w:line="264" w:lineRule="auto"/>
        <w:ind w:left="720" w:hanging="360"/>
      </w:pPr>
      <w:r>
        <w:rPr>
          <w:rFonts w:ascii="Calibri" w:hAnsi="Calibri"/>
          <w:b w:val="0"/>
          <w:i w:val="0"/>
          <w:color w:val="172534"/>
          <w:sz w:val="20"/>
        </w:rPr>
        <w:t>Estimated arrival and progress updates from booking through delivery.</w:t>
      </w:r>
    </w:p>
    <w:p>
      <w:pPr>
        <w:pStyle w:val="ListBullet"/>
        <w:spacing w:after="80" w:line="264" w:lineRule="auto"/>
        <w:ind w:left="720" w:hanging="360"/>
      </w:pPr>
      <w:r>
        <w:rPr>
          <w:rFonts w:ascii="Calibri" w:hAnsi="Calibri"/>
          <w:b w:val="0"/>
          <w:i w:val="0"/>
          <w:color w:val="172534"/>
          <w:sz w:val="20"/>
        </w:rPr>
        <w:t>Push, email or WhatsApp-ready notification integration for key status changes.</w:t>
      </w:r>
    </w:p>
    <w:p>
      <w:pPr>
        <w:pStyle w:val="ListBullet"/>
        <w:spacing w:after="80" w:line="264" w:lineRule="auto"/>
        <w:ind w:left="720" w:hanging="360"/>
      </w:pPr>
      <w:r>
        <w:rPr>
          <w:rFonts w:ascii="Calibri" w:hAnsi="Calibri"/>
          <w:b w:val="0"/>
          <w:i w:val="0"/>
          <w:color w:val="172534"/>
          <w:sz w:val="20"/>
        </w:rPr>
        <w:t>Customer support contact options and frequently asked questions.</w:t>
      </w:r>
    </w:p>
    <w:p>
      <w:pPr>
        <w:keepNext/>
        <w:spacing w:before="140" w:after="60"/>
      </w:pPr>
      <w:r>
        <w:rPr>
          <w:rFonts w:ascii="Calibri" w:hAnsi="Calibri"/>
          <w:b/>
          <w:i w:val="0"/>
          <w:color w:val="125A98"/>
          <w:sz w:val="22"/>
        </w:rPr>
        <w:t>Payments, documents and service information</w:t>
      </w:r>
    </w:p>
    <w:p>
      <w:pPr>
        <w:pStyle w:val="ListBullet"/>
        <w:spacing w:after="80" w:line="264" w:lineRule="auto"/>
        <w:ind w:left="720" w:hanging="360"/>
      </w:pPr>
      <w:r>
        <w:rPr>
          <w:rFonts w:ascii="Calibri" w:hAnsi="Calibri"/>
          <w:b w:val="0"/>
          <w:i w:val="0"/>
          <w:color w:val="172534"/>
          <w:sz w:val="20"/>
        </w:rPr>
        <w:t>Online payment integration readiness and payment confirmation records.</w:t>
      </w:r>
    </w:p>
    <w:p>
      <w:pPr>
        <w:pStyle w:val="ListBullet"/>
        <w:spacing w:after="80" w:line="264" w:lineRule="auto"/>
        <w:ind w:left="720" w:hanging="360"/>
      </w:pPr>
      <w:r>
        <w:rPr>
          <w:rFonts w:ascii="Calibri" w:hAnsi="Calibri"/>
          <w:b w:val="0"/>
          <w:i w:val="0"/>
          <w:color w:val="172534"/>
          <w:sz w:val="20"/>
        </w:rPr>
        <w:t>Access to invoices, receipts and shipment summaries.</w:t>
      </w:r>
    </w:p>
    <w:p>
      <w:pPr>
        <w:pStyle w:val="ListBullet"/>
        <w:spacing w:after="80" w:line="264" w:lineRule="auto"/>
        <w:ind w:left="720" w:hanging="360"/>
      </w:pPr>
      <w:r>
        <w:rPr>
          <w:rFonts w:ascii="Calibri" w:hAnsi="Calibri"/>
          <w:b w:val="0"/>
          <w:i w:val="0"/>
          <w:color w:val="172534"/>
          <w:sz w:val="20"/>
        </w:rPr>
        <w:t>Collection schedules, announcements and service availability notices.</w:t>
      </w:r>
    </w:p>
    <w:p>
      <w:pPr>
        <w:pStyle w:val="ListBullet"/>
        <w:spacing w:after="80" w:line="264" w:lineRule="auto"/>
        <w:ind w:left="720" w:hanging="360"/>
      </w:pPr>
      <w:r>
        <w:rPr>
          <w:rFonts w:ascii="Calibri" w:hAnsi="Calibri"/>
          <w:b w:val="0"/>
          <w:i w:val="0"/>
          <w:color w:val="172534"/>
          <w:sz w:val="20"/>
        </w:rPr>
        <w:t>Customer feedback and service review submission.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5F8FB"/>
          </w:tcPr>
          <w:p>
            <w:pPr>
              <w:spacing w:after="0"/>
            </w:pPr>
            <w:r>
              <w:rPr>
                <w:rFonts w:ascii="Calibri" w:hAnsi="Calibri"/>
                <w:b/>
                <w:i w:val="0"/>
                <w:color w:val="125A98"/>
                <w:sz w:val="20"/>
              </w:rPr>
              <w:t xml:space="preserve">Release package: </w:t>
            </w:r>
            <w:r>
              <w:rPr>
                <w:rFonts w:ascii="Calibri" w:hAnsi="Calibri"/>
                <w:b w:val="0"/>
                <w:i w:val="0"/>
                <w:color w:val="172534"/>
                <w:sz w:val="20"/>
              </w:rPr>
              <w:t>branded app icon and splash screen, production Android build, store screenshots and listing support, plus an iOS-ready build configuration where required.</w:t>
            </w:r>
          </w:p>
        </w:tc>
      </w:tr>
    </w:tbl>
    <w:p>
      <w:r>
        <w:br w:type="page"/>
      </w:r>
    </w:p>
    <w:p>
      <w:pPr>
        <w:pStyle w:val="Heading1"/>
        <w:keepNext/>
      </w:pPr>
      <w:r>
        <w:t>2. Staff operations app</w:t>
      </w:r>
    </w:p>
    <w:p>
      <w:pPr>
        <w:spacing w:after="120" w:line="264" w:lineRule="auto"/>
      </w:pPr>
      <w:r>
        <w:rPr>
          <w:rFonts w:ascii="Calibri" w:hAnsi="Calibri"/>
          <w:b w:val="0"/>
          <w:i w:val="0"/>
          <w:color w:val="172534"/>
          <w:sz w:val="21"/>
        </w:rPr>
        <w:t>A role-based internal application for managers, administrators, finance personnel and drivers.</w:t>
      </w:r>
    </w:p>
    <w:p>
      <w:pPr>
        <w:keepNext/>
        <w:spacing w:before="140" w:after="60"/>
      </w:pPr>
      <w:r>
        <w:rPr>
          <w:rFonts w:ascii="Calibri" w:hAnsi="Calibri"/>
          <w:b/>
          <w:i w:val="0"/>
          <w:color w:val="125A98"/>
          <w:sz w:val="22"/>
        </w:rPr>
        <w:t>Management dashboard</w:t>
      </w:r>
    </w:p>
    <w:p>
      <w:pPr>
        <w:pStyle w:val="ListBullet"/>
        <w:spacing w:after="80" w:line="264" w:lineRule="auto"/>
        <w:ind w:left="720" w:hanging="360"/>
      </w:pPr>
      <w:r>
        <w:rPr>
          <w:rFonts w:ascii="Calibri" w:hAnsi="Calibri"/>
          <w:b w:val="0"/>
          <w:i w:val="0"/>
          <w:color w:val="172534"/>
          <w:sz w:val="20"/>
        </w:rPr>
        <w:t>At-a-glance shipment totals, active jobs, delivered shipments and revenue indicators.</w:t>
      </w:r>
    </w:p>
    <w:p>
      <w:pPr>
        <w:pStyle w:val="ListBullet"/>
        <w:spacing w:after="80" w:line="264" w:lineRule="auto"/>
        <w:ind w:left="720" w:hanging="360"/>
      </w:pPr>
      <w:r>
        <w:rPr>
          <w:rFonts w:ascii="Calibri" w:hAnsi="Calibri"/>
          <w:b w:val="0"/>
          <w:i w:val="0"/>
          <w:color w:val="172534"/>
          <w:sz w:val="20"/>
        </w:rPr>
        <w:t>UK, Zimbabwe and combined operational filters.</w:t>
      </w:r>
    </w:p>
    <w:p>
      <w:pPr>
        <w:pStyle w:val="ListBullet"/>
        <w:spacing w:after="80" w:line="264" w:lineRule="auto"/>
        <w:ind w:left="720" w:hanging="360"/>
      </w:pPr>
      <w:r>
        <w:rPr>
          <w:rFonts w:ascii="Calibri" w:hAnsi="Calibri"/>
          <w:b w:val="0"/>
          <w:i w:val="0"/>
          <w:color w:val="172534"/>
          <w:sz w:val="20"/>
        </w:rPr>
        <w:t>Attention alerts for pending collections, quotation requests and operational exceptions.</w:t>
      </w:r>
    </w:p>
    <w:p>
      <w:pPr>
        <w:keepNext/>
        <w:spacing w:before="140" w:after="60"/>
      </w:pPr>
      <w:r>
        <w:rPr>
          <w:rFonts w:ascii="Calibri" w:hAnsi="Calibri"/>
          <w:b/>
          <w:i w:val="0"/>
          <w:color w:val="125A98"/>
          <w:sz w:val="22"/>
        </w:rPr>
        <w:t>Shipment and customer operations</w:t>
      </w:r>
    </w:p>
    <w:p>
      <w:pPr>
        <w:pStyle w:val="ListBullet"/>
        <w:spacing w:after="80" w:line="264" w:lineRule="auto"/>
        <w:ind w:left="720" w:hanging="360"/>
      </w:pPr>
      <w:r>
        <w:rPr>
          <w:rFonts w:ascii="Calibri" w:hAnsi="Calibri"/>
          <w:b w:val="0"/>
          <w:i w:val="0"/>
          <w:color w:val="172534"/>
          <w:sz w:val="20"/>
        </w:rPr>
        <w:t>Searchable shipment list with status, customer, tracking and route filters.</w:t>
      </w:r>
    </w:p>
    <w:p>
      <w:pPr>
        <w:pStyle w:val="ListBullet"/>
        <w:spacing w:after="80" w:line="264" w:lineRule="auto"/>
        <w:ind w:left="720" w:hanging="360"/>
      </w:pPr>
      <w:r>
        <w:rPr>
          <w:rFonts w:ascii="Calibri" w:hAnsi="Calibri"/>
          <w:b w:val="0"/>
          <w:i w:val="0"/>
          <w:color w:val="172534"/>
          <w:sz w:val="20"/>
        </w:rPr>
        <w:t>Shipment detail view with sender, receiver, package and journey information.</w:t>
      </w:r>
    </w:p>
    <w:p>
      <w:pPr>
        <w:pStyle w:val="ListBullet"/>
        <w:spacing w:after="80" w:line="264" w:lineRule="auto"/>
        <w:ind w:left="720" w:hanging="360"/>
      </w:pPr>
      <w:r>
        <w:rPr>
          <w:rFonts w:ascii="Calibri" w:hAnsi="Calibri"/>
          <w:b w:val="0"/>
          <w:i w:val="0"/>
          <w:color w:val="172534"/>
          <w:sz w:val="20"/>
        </w:rPr>
        <w:t>Status updates with customer-notification triggers and audit history.</w:t>
      </w:r>
    </w:p>
    <w:p>
      <w:pPr>
        <w:pStyle w:val="ListBullet"/>
        <w:spacing w:after="80" w:line="264" w:lineRule="auto"/>
        <w:ind w:left="720" w:hanging="360"/>
      </w:pPr>
      <w:r>
        <w:rPr>
          <w:rFonts w:ascii="Calibri" w:hAnsi="Calibri"/>
          <w:b w:val="0"/>
          <w:i w:val="0"/>
          <w:color w:val="172534"/>
          <w:sz w:val="20"/>
        </w:rPr>
        <w:t>Customer directory, manual booking and customer contact actions.</w:t>
      </w:r>
    </w:p>
    <w:p>
      <w:pPr>
        <w:keepNext/>
        <w:spacing w:before="140" w:after="60"/>
      </w:pPr>
      <w:r>
        <w:rPr>
          <w:rFonts w:ascii="Calibri" w:hAnsi="Calibri"/>
          <w:b/>
          <w:i w:val="0"/>
          <w:color w:val="125A98"/>
          <w:sz w:val="22"/>
        </w:rPr>
        <w:t>Finance and administration</w:t>
      </w:r>
    </w:p>
    <w:p>
      <w:pPr>
        <w:pStyle w:val="ListBullet"/>
        <w:spacing w:after="80" w:line="264" w:lineRule="auto"/>
        <w:ind w:left="720" w:hanging="360"/>
      </w:pPr>
      <w:r>
        <w:rPr>
          <w:rFonts w:ascii="Calibri" w:hAnsi="Calibri"/>
          <w:b w:val="0"/>
          <w:i w:val="0"/>
          <w:color w:val="172534"/>
          <w:sz w:val="20"/>
        </w:rPr>
        <w:t>Payments, invoices, receipts and finance dashboard access.</w:t>
      </w:r>
    </w:p>
    <w:p>
      <w:pPr>
        <w:pStyle w:val="ListBullet"/>
        <w:spacing w:after="80" w:line="264" w:lineRule="auto"/>
        <w:ind w:left="720" w:hanging="360"/>
      </w:pPr>
      <w:r>
        <w:rPr>
          <w:rFonts w:ascii="Calibri" w:hAnsi="Calibri"/>
          <w:b w:val="0"/>
          <w:i w:val="0"/>
          <w:color w:val="172534"/>
          <w:sz w:val="20"/>
        </w:rPr>
        <w:t>Custom quotation review, response and status management.</w:t>
      </w:r>
    </w:p>
    <w:p>
      <w:pPr>
        <w:pStyle w:val="ListBullet"/>
        <w:spacing w:after="80" w:line="264" w:lineRule="auto"/>
        <w:ind w:left="720" w:hanging="360"/>
      </w:pPr>
      <w:r>
        <w:rPr>
          <w:rFonts w:ascii="Calibri" w:hAnsi="Calibri"/>
          <w:b w:val="0"/>
          <w:i w:val="0"/>
          <w:color w:val="172534"/>
          <w:sz w:val="20"/>
        </w:rPr>
        <w:t>Collection schedule, delivery workflow, feedback and announcement management.</w:t>
      </w:r>
    </w:p>
    <w:p>
      <w:pPr>
        <w:pStyle w:val="ListBullet"/>
        <w:spacing w:after="80" w:line="264" w:lineRule="auto"/>
        <w:ind w:left="720" w:hanging="360"/>
      </w:pPr>
      <w:r>
        <w:rPr>
          <w:rFonts w:ascii="Calibri" w:hAnsi="Calibri"/>
          <w:b w:val="0"/>
          <w:i w:val="0"/>
          <w:color w:val="172534"/>
          <w:sz w:val="20"/>
        </w:rPr>
        <w:t>Role-based menus for administrators, finance users and drivers.</w:t>
      </w:r>
    </w:p>
    <w:p>
      <w:pPr>
        <w:keepNext/>
        <w:spacing w:before="140" w:after="60"/>
      </w:pPr>
      <w:r>
        <w:rPr>
          <w:rFonts w:ascii="Calibri" w:hAnsi="Calibri"/>
          <w:b/>
          <w:i w:val="0"/>
          <w:color w:val="125A98"/>
          <w:sz w:val="22"/>
        </w:rPr>
        <w:t>Driver workflow</w:t>
      </w:r>
    </w:p>
    <w:p>
      <w:pPr>
        <w:pStyle w:val="ListBullet"/>
        <w:spacing w:after="80" w:line="264" w:lineRule="auto"/>
        <w:ind w:left="720" w:hanging="360"/>
      </w:pPr>
      <w:r>
        <w:rPr>
          <w:rFonts w:ascii="Calibri" w:hAnsi="Calibri"/>
          <w:b w:val="0"/>
          <w:i w:val="0"/>
          <w:color w:val="172534"/>
          <w:sz w:val="20"/>
        </w:rPr>
        <w:t>Daily collection and delivery run lists with customer and address details.</w:t>
      </w:r>
    </w:p>
    <w:p>
      <w:pPr>
        <w:pStyle w:val="ListBullet"/>
        <w:spacing w:after="80" w:line="264" w:lineRule="auto"/>
        <w:ind w:left="720" w:hanging="360"/>
      </w:pPr>
      <w:r>
        <w:rPr>
          <w:rFonts w:ascii="Calibri" w:hAnsi="Calibri"/>
          <w:b w:val="0"/>
          <w:i w:val="0"/>
          <w:color w:val="172534"/>
          <w:sz w:val="20"/>
        </w:rPr>
        <w:t>Tap-to-call customer action and job status confirmation.</w:t>
      </w:r>
    </w:p>
    <w:p>
      <w:pPr>
        <w:pStyle w:val="ListBullet"/>
        <w:spacing w:after="80" w:line="264" w:lineRule="auto"/>
        <w:ind w:left="720" w:hanging="360"/>
      </w:pPr>
      <w:r>
        <w:rPr>
          <w:rFonts w:ascii="Calibri" w:hAnsi="Calibri"/>
          <w:b w:val="0"/>
          <w:i w:val="0"/>
          <w:color w:val="172534"/>
          <w:sz w:val="20"/>
        </w:rPr>
        <w:t>Mark Collected and Mark Delivered workflows with secure database updates.</w:t>
      </w:r>
    </w:p>
    <w:p>
      <w:pPr>
        <w:pStyle w:val="Heading1"/>
        <w:keepNext/>
      </w:pPr>
      <w:r>
        <w:t>3. Shared platform and delivery</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100" w:type="dxa"/>
              <w:start w:w="140" w:type="dxa"/>
              <w:bottom w:w="100" w:type="dxa"/>
              <w:end w:w="140" w:type="dxa"/>
            </w:tcMar>
            <w:vAlign w:val="center"/>
            <w:shd w:fill="EAF3FA"/>
          </w:tcPr>
          <w:p>
            <w:pPr>
              <w:spacing w:after="60"/>
            </w:pPr>
            <w:r>
              <w:rPr>
                <w:rFonts w:ascii="Calibri" w:hAnsi="Calibri"/>
                <w:b/>
                <w:i w:val="0"/>
                <w:color w:val="125A98"/>
                <w:sz w:val="21"/>
              </w:rPr>
              <w:t>Backend &amp; data</w:t>
              <w:br/>
            </w:r>
            <w:r>
              <w:rPr>
                <w:rFonts w:ascii="Calibri" w:hAnsi="Calibri"/>
                <w:b w:val="0"/>
                <w:i w:val="0"/>
                <w:color w:val="172534"/>
                <w:sz w:val="18"/>
              </w:rPr>
              <w:t>Secure cloud database, application APIs, file storage and synchronized customer/staff records.</w:t>
            </w:r>
          </w:p>
        </w:tc>
        <w:tc>
          <w:tcPr>
            <w:tcW w:type="dxa" w:w="3120"/>
            <w:tcMar>
              <w:top w:w="100" w:type="dxa"/>
              <w:start w:w="140" w:type="dxa"/>
              <w:bottom w:w="100" w:type="dxa"/>
              <w:end w:w="140" w:type="dxa"/>
            </w:tcMar>
            <w:vAlign w:val="center"/>
            <w:shd w:fill="F5F8FB"/>
          </w:tcPr>
          <w:p>
            <w:pPr>
              <w:spacing w:after="60"/>
            </w:pPr>
            <w:r>
              <w:rPr>
                <w:rFonts w:ascii="Calibri" w:hAnsi="Calibri"/>
                <w:b/>
                <w:i w:val="0"/>
                <w:color w:val="125A98"/>
                <w:sz w:val="21"/>
              </w:rPr>
              <w:t>Security</w:t>
              <w:br/>
            </w:r>
            <w:r>
              <w:rPr>
                <w:rFonts w:ascii="Calibri" w:hAnsi="Calibri"/>
                <w:b w:val="0"/>
                <w:i w:val="0"/>
                <w:color w:val="172534"/>
                <w:sz w:val="18"/>
              </w:rPr>
              <w:t>Authenticated access, role permissions, validation, protected operational data and MFA readiness.</w:t>
            </w:r>
          </w:p>
        </w:tc>
        <w:tc>
          <w:tcPr>
            <w:tcW w:type="dxa" w:w="3120"/>
            <w:tcMar>
              <w:top w:w="100" w:type="dxa"/>
              <w:start w:w="140" w:type="dxa"/>
              <w:bottom w:w="100" w:type="dxa"/>
              <w:end w:w="140" w:type="dxa"/>
            </w:tcMar>
            <w:vAlign w:val="center"/>
            <w:shd w:fill="EAF3FA"/>
          </w:tcPr>
          <w:p>
            <w:pPr>
              <w:spacing w:after="60"/>
            </w:pPr>
            <w:r>
              <w:rPr>
                <w:rFonts w:ascii="Calibri" w:hAnsi="Calibri"/>
                <w:b/>
                <w:i w:val="0"/>
                <w:color w:val="125A98"/>
                <w:sz w:val="21"/>
              </w:rPr>
              <w:t>Quality &amp; launch</w:t>
              <w:br/>
            </w:r>
            <w:r>
              <w:rPr>
                <w:rFonts w:ascii="Calibri" w:hAnsi="Calibri"/>
                <w:b w:val="0"/>
                <w:i w:val="0"/>
                <w:color w:val="172534"/>
                <w:sz w:val="18"/>
              </w:rPr>
              <w:t>Responsive testing, core workflow testing, deployment configuration and release handover.</w:t>
            </w:r>
          </w:p>
        </w:tc>
      </w:tr>
    </w:tbl>
    <w:p>
      <w:r>
        <w:br w:type="page"/>
      </w:r>
    </w:p>
    <w:p>
      <w:pPr>
        <w:pStyle w:val="Heading1"/>
        <w:keepNext/>
        <w:spacing w:before="180" w:after="80"/>
      </w:pPr>
      <w:r>
        <w:t>4. Project investment</w:t>
      </w:r>
    </w:p>
    <w:tbl>
      <w:tblPr>
        <w:tblW w:type="dxa" w:w="9360"/>
        <w:jc w:val="left"/>
        <w:tblLayout w:type="fixed"/>
        <w:tblLook w:firstColumn="1" w:firstRow="1" w:lastColumn="0" w:lastRow="0" w:noHBand="0" w:noVBand="1" w:val="04A0"/>
        <w:tblInd w:w="120" w:type="dxa"/>
      </w:tblPr>
      <w:tblGrid>
        <w:gridCol w:w="6900"/>
        <w:gridCol w:w="2460"/>
      </w:tblGrid>
      <w:tr>
        <w:trPr>
          <w:tblHeader w:val="true"/>
        </w:trPr>
        <w:tc>
          <w:tcPr>
            <w:tcW w:type="dxa" w:w="6900"/>
            <w:tcMar>
              <w:top w:w="100" w:type="dxa"/>
              <w:start w:w="140" w:type="dxa"/>
              <w:bottom w:w="100" w:type="dxa"/>
              <w:end w:w="140" w:type="dxa"/>
            </w:tcMar>
            <w:vAlign w:val="center"/>
            <w:shd w:fill="0A3154"/>
          </w:tcPr>
          <w:p>
            <w:r>
              <w:rPr>
                <w:rFonts w:ascii="Calibri" w:hAnsi="Calibri"/>
                <w:b/>
                <w:i w:val="0"/>
                <w:color w:val="FFFFFF"/>
                <w:sz w:val="18"/>
              </w:rPr>
              <w:t>DELIVERABLE</w:t>
            </w:r>
          </w:p>
        </w:tc>
        <w:tc>
          <w:tcPr>
            <w:tcW w:type="dxa" w:w="2460"/>
            <w:tcMar>
              <w:top w:w="100" w:type="dxa"/>
              <w:start w:w="140" w:type="dxa"/>
              <w:bottom w:w="100" w:type="dxa"/>
              <w:end w:w="140" w:type="dxa"/>
            </w:tcMar>
            <w:vAlign w:val="center"/>
            <w:shd w:fill="0A3154"/>
          </w:tcPr>
          <w:p>
            <w:pPr>
              <w:jc w:val="right"/>
            </w:pPr>
            <w:r>
              <w:rPr>
                <w:rFonts w:ascii="Calibri" w:hAnsi="Calibri"/>
                <w:b/>
                <w:i w:val="0"/>
                <w:color w:val="FFFFFF"/>
                <w:sz w:val="18"/>
              </w:rPr>
              <w:t>PRICE (USD)</w:t>
            </w:r>
          </w:p>
        </w:tc>
      </w:tr>
      <w:tr>
        <w:tc>
          <w:tcPr>
            <w:tcW w:type="dxa" w:w="6900"/>
            <w:tcBorders>
              <w:top w:val="single" w:sz="6" w:space="0" w:color="CCD8E3"/>
              <w:left w:val="single" w:sz="6" w:space="0" w:color="CCD8E3"/>
              <w:bottom w:val="single" w:sz="6" w:space="0" w:color="CCD8E3"/>
              <w:right w:val="single" w:sz="6" w:space="0" w:color="CCD8E3"/>
            </w:tcBorders>
          </w:tcPr>
          <w:p>
            <w:pPr>
              <w:spacing w:after="0"/>
            </w:pPr>
            <w:r>
              <w:rPr>
                <w:rFonts w:ascii="Calibri" w:hAnsi="Calibri"/>
                <w:b w:val="0"/>
                <w:i w:val="0"/>
                <w:color w:val="172534"/>
                <w:sz w:val="20"/>
              </w:rPr>
              <w:t>Customer mobile app - design, development and core workflows</w:t>
            </w:r>
          </w:p>
        </w:tc>
        <w:tc>
          <w:tcPr>
            <w:tcW w:type="dxa" w:w="2460"/>
            <w:tcBorders>
              <w:top w:val="single" w:sz="6" w:space="0" w:color="CCD8E3"/>
              <w:left w:val="single" w:sz="6" w:space="0" w:color="CCD8E3"/>
              <w:bottom w:val="single" w:sz="6" w:space="0" w:color="CCD8E3"/>
              <w:right w:val="single" w:sz="6" w:space="0" w:color="CCD8E3"/>
            </w:tcBorders>
          </w:tcPr>
          <w:p>
            <w:pPr>
              <w:spacing w:after="0"/>
              <w:jc w:val="right"/>
            </w:pPr>
            <w:r>
              <w:rPr>
                <w:rFonts w:ascii="Calibri" w:hAnsi="Calibri"/>
                <w:b/>
                <w:i w:val="0"/>
                <w:color w:val="172534"/>
                <w:sz w:val="20"/>
              </w:rPr>
              <w:t>$450.00</w:t>
            </w:r>
          </w:p>
        </w:tc>
      </w:tr>
      <w:tr>
        <w:tc>
          <w:tcPr>
            <w:tcW w:type="dxa" w:w="6900"/>
            <w:shd w:fill="F5F8FB"/>
            <w:tcBorders>
              <w:top w:val="single" w:sz="6" w:space="0" w:color="CCD8E3"/>
              <w:left w:val="single" w:sz="6" w:space="0" w:color="CCD8E3"/>
              <w:bottom w:val="single" w:sz="6" w:space="0" w:color="CCD8E3"/>
              <w:right w:val="single" w:sz="6" w:space="0" w:color="CCD8E3"/>
            </w:tcBorders>
          </w:tcPr>
          <w:p>
            <w:pPr>
              <w:spacing w:after="0"/>
            </w:pPr>
            <w:r>
              <w:rPr>
                <w:rFonts w:ascii="Calibri" w:hAnsi="Calibri"/>
                <w:b w:val="0"/>
                <w:i w:val="0"/>
                <w:color w:val="172534"/>
                <w:sz w:val="20"/>
              </w:rPr>
              <w:t>Staff operations app - management, finance and driver workflows</w:t>
            </w:r>
          </w:p>
        </w:tc>
        <w:tc>
          <w:tcPr>
            <w:tcW w:type="dxa" w:w="2460"/>
            <w:shd w:fill="F5F8FB"/>
            <w:tcBorders>
              <w:top w:val="single" w:sz="6" w:space="0" w:color="CCD8E3"/>
              <w:left w:val="single" w:sz="6" w:space="0" w:color="CCD8E3"/>
              <w:bottom w:val="single" w:sz="6" w:space="0" w:color="CCD8E3"/>
              <w:right w:val="single" w:sz="6" w:space="0" w:color="CCD8E3"/>
            </w:tcBorders>
          </w:tcPr>
          <w:p>
            <w:pPr>
              <w:spacing w:after="0"/>
              <w:jc w:val="right"/>
            </w:pPr>
            <w:r>
              <w:rPr>
                <w:rFonts w:ascii="Calibri" w:hAnsi="Calibri"/>
                <w:b/>
                <w:i w:val="0"/>
                <w:color w:val="172534"/>
                <w:sz w:val="20"/>
              </w:rPr>
              <w:t>$500.00</w:t>
            </w:r>
          </w:p>
        </w:tc>
      </w:tr>
      <w:tr>
        <w:tc>
          <w:tcPr>
            <w:tcW w:type="dxa" w:w="6900"/>
            <w:tcBorders>
              <w:top w:val="single" w:sz="6" w:space="0" w:color="CCD8E3"/>
              <w:left w:val="single" w:sz="6" w:space="0" w:color="CCD8E3"/>
              <w:bottom w:val="single" w:sz="6" w:space="0" w:color="CCD8E3"/>
              <w:right w:val="single" w:sz="6" w:space="0" w:color="CCD8E3"/>
            </w:tcBorders>
          </w:tcPr>
          <w:p>
            <w:pPr>
              <w:spacing w:after="0"/>
            </w:pPr>
            <w:r>
              <w:rPr>
                <w:rFonts w:ascii="Calibri" w:hAnsi="Calibri"/>
                <w:b w:val="0"/>
                <w:i w:val="0"/>
                <w:color w:val="172534"/>
                <w:sz w:val="20"/>
              </w:rPr>
              <w:t>Shared backend integration, roles, security and notifications</w:t>
            </w:r>
          </w:p>
        </w:tc>
        <w:tc>
          <w:tcPr>
            <w:tcW w:type="dxa" w:w="2460"/>
            <w:tcBorders>
              <w:top w:val="single" w:sz="6" w:space="0" w:color="CCD8E3"/>
              <w:left w:val="single" w:sz="6" w:space="0" w:color="CCD8E3"/>
              <w:bottom w:val="single" w:sz="6" w:space="0" w:color="CCD8E3"/>
              <w:right w:val="single" w:sz="6" w:space="0" w:color="CCD8E3"/>
            </w:tcBorders>
          </w:tcPr>
          <w:p>
            <w:pPr>
              <w:spacing w:after="0"/>
              <w:jc w:val="right"/>
            </w:pPr>
            <w:r>
              <w:rPr>
                <w:rFonts w:ascii="Calibri" w:hAnsi="Calibri"/>
                <w:b/>
                <w:i w:val="0"/>
                <w:color w:val="172534"/>
                <w:sz w:val="20"/>
              </w:rPr>
              <w:t>$150.00</w:t>
            </w:r>
          </w:p>
        </w:tc>
      </w:tr>
      <w:tr>
        <w:tc>
          <w:tcPr>
            <w:tcW w:type="dxa" w:w="6900"/>
            <w:shd w:fill="F5F8FB"/>
            <w:tcBorders>
              <w:top w:val="single" w:sz="6" w:space="0" w:color="CCD8E3"/>
              <w:left w:val="single" w:sz="6" w:space="0" w:color="CCD8E3"/>
              <w:bottom w:val="single" w:sz="6" w:space="0" w:color="CCD8E3"/>
              <w:right w:val="single" w:sz="6" w:space="0" w:color="CCD8E3"/>
            </w:tcBorders>
          </w:tcPr>
          <w:p>
            <w:pPr>
              <w:spacing w:after="0"/>
            </w:pPr>
            <w:r>
              <w:rPr>
                <w:rFonts w:ascii="Calibri" w:hAnsi="Calibri"/>
                <w:b w:val="0"/>
                <w:i w:val="0"/>
                <w:color w:val="172534"/>
                <w:sz w:val="20"/>
              </w:rPr>
              <w:t>Testing, production builds, store assets and release support</w:t>
            </w:r>
          </w:p>
        </w:tc>
        <w:tc>
          <w:tcPr>
            <w:tcW w:type="dxa" w:w="2460"/>
            <w:shd w:fill="F5F8FB"/>
            <w:tcBorders>
              <w:top w:val="single" w:sz="6" w:space="0" w:color="CCD8E3"/>
              <w:left w:val="single" w:sz="6" w:space="0" w:color="CCD8E3"/>
              <w:bottom w:val="single" w:sz="6" w:space="0" w:color="CCD8E3"/>
              <w:right w:val="single" w:sz="6" w:space="0" w:color="CCD8E3"/>
            </w:tcBorders>
          </w:tcPr>
          <w:p>
            <w:pPr>
              <w:spacing w:after="0"/>
              <w:jc w:val="right"/>
            </w:pPr>
            <w:r>
              <w:rPr>
                <w:rFonts w:ascii="Calibri" w:hAnsi="Calibri"/>
                <w:b/>
                <w:i w:val="0"/>
                <w:color w:val="172534"/>
                <w:sz w:val="20"/>
              </w:rPr>
              <w:t>$99.99</w:t>
            </w:r>
          </w:p>
        </w:tc>
      </w:tr>
      <w:tr>
        <w:tc>
          <w:tcPr>
            <w:tcW w:type="dxa" w:w="6900"/>
            <w:shd w:fill="EAF3FA"/>
            <w:tcBorders>
              <w:top w:val="single" w:sz="14" w:space="0" w:color="125A98"/>
              <w:left w:val="single" w:sz="6" w:space="0" w:color="CCD8E3"/>
              <w:bottom w:val="single" w:sz="6" w:space="0" w:color="CCD8E3"/>
              <w:right w:val="single" w:sz="6" w:space="0" w:color="CCD8E3"/>
            </w:tcBorders>
          </w:tcPr>
          <w:p>
            <w:pPr>
              <w:spacing w:after="0"/>
            </w:pPr>
            <w:r>
              <w:rPr>
                <w:rFonts w:ascii="Calibri" w:hAnsi="Calibri"/>
                <w:b/>
                <w:i w:val="0"/>
                <w:color w:val="0A3154"/>
                <w:sz w:val="23"/>
              </w:rPr>
              <w:t>TOTAL FIXED PROJECT PRICE</w:t>
            </w:r>
          </w:p>
        </w:tc>
        <w:tc>
          <w:tcPr>
            <w:tcW w:type="dxa" w:w="2460"/>
            <w:shd w:fill="EAF3FA"/>
            <w:tcBorders>
              <w:top w:val="single" w:sz="14" w:space="0" w:color="125A98"/>
              <w:left w:val="single" w:sz="6" w:space="0" w:color="CCD8E3"/>
              <w:bottom w:val="single" w:sz="6" w:space="0" w:color="CCD8E3"/>
              <w:right w:val="single" w:sz="6" w:space="0" w:color="CCD8E3"/>
            </w:tcBorders>
          </w:tcPr>
          <w:p>
            <w:pPr>
              <w:spacing w:after="0"/>
              <w:jc w:val="right"/>
            </w:pPr>
            <w:r>
              <w:rPr>
                <w:rFonts w:ascii="Calibri" w:hAnsi="Calibri"/>
                <w:b/>
                <w:i w:val="0"/>
                <w:color w:val="125A98"/>
                <w:sz w:val="24"/>
              </w:rPr>
              <w:t>$1,199.99</w:t>
            </w:r>
          </w:p>
        </w:tc>
      </w:tr>
    </w:tbl>
    <w:p>
      <w:pPr>
        <w:pStyle w:val="Heading1"/>
        <w:keepNext/>
        <w:spacing w:before="180" w:after="80"/>
      </w:pPr>
      <w:r>
        <w:t>5. Recommended monthly service</w:t>
      </w:r>
    </w:p>
    <w:tbl>
      <w:tblPr>
        <w:tblW w:type="dxa" w:w="9360"/>
        <w:jc w:val="left"/>
        <w:tblLayout w:type="fixed"/>
        <w:tblLook w:firstColumn="1" w:firstRow="1" w:lastColumn="0" w:lastRow="0" w:noHBand="0" w:noVBand="1" w:val="04A0"/>
        <w:tblInd w:w="120" w:type="dxa"/>
      </w:tblPr>
      <w:tblGrid>
        <w:gridCol w:w="6900"/>
        <w:gridCol w:w="2460"/>
      </w:tblGrid>
      <w:tr>
        <w:trPr>
          <w:tblHeader w:val="true"/>
        </w:trPr>
        <w:tc>
          <w:tcPr>
            <w:tcW w:type="dxa" w:w="6900"/>
            <w:tcMar>
              <w:top w:w="100" w:type="dxa"/>
              <w:start w:w="140" w:type="dxa"/>
              <w:bottom w:w="100" w:type="dxa"/>
              <w:end w:w="140" w:type="dxa"/>
            </w:tcMar>
            <w:vAlign w:val="center"/>
            <w:shd w:fill="0A3154"/>
          </w:tcPr>
          <w:p>
            <w:r>
              <w:rPr>
                <w:rFonts w:ascii="Calibri" w:hAnsi="Calibri"/>
                <w:b/>
                <w:i w:val="0"/>
                <w:color w:val="FFFFFF"/>
                <w:sz w:val="18"/>
              </w:rPr>
              <w:t>DELIVERABLE</w:t>
            </w:r>
          </w:p>
        </w:tc>
        <w:tc>
          <w:tcPr>
            <w:tcW w:type="dxa" w:w="2460"/>
            <w:tcMar>
              <w:top w:w="100" w:type="dxa"/>
              <w:start w:w="140" w:type="dxa"/>
              <w:bottom w:w="100" w:type="dxa"/>
              <w:end w:w="140" w:type="dxa"/>
            </w:tcMar>
            <w:vAlign w:val="center"/>
            <w:shd w:fill="0A3154"/>
          </w:tcPr>
          <w:p>
            <w:pPr>
              <w:jc w:val="right"/>
            </w:pPr>
            <w:r>
              <w:rPr>
                <w:rFonts w:ascii="Calibri" w:hAnsi="Calibri"/>
                <w:b/>
                <w:i w:val="0"/>
                <w:color w:val="FFFFFF"/>
                <w:sz w:val="18"/>
              </w:rPr>
              <w:t>PRICE (USD)</w:t>
            </w:r>
          </w:p>
        </w:tc>
      </w:tr>
      <w:tr>
        <w:tc>
          <w:tcPr>
            <w:tcW w:type="dxa" w:w="6900"/>
            <w:tcBorders>
              <w:top w:val="single" w:sz="6" w:space="0" w:color="CCD8E3"/>
              <w:left w:val="single" w:sz="6" w:space="0" w:color="CCD8E3"/>
              <w:bottom w:val="single" w:sz="6" w:space="0" w:color="CCD8E3"/>
              <w:right w:val="single" w:sz="6" w:space="0" w:color="CCD8E3"/>
            </w:tcBorders>
          </w:tcPr>
          <w:p>
            <w:pPr>
              <w:spacing w:after="0"/>
            </w:pPr>
            <w:r>
              <w:rPr>
                <w:rFonts w:ascii="Calibri" w:hAnsi="Calibri"/>
                <w:b w:val="0"/>
                <w:i w:val="0"/>
                <w:color w:val="172534"/>
                <w:sz w:val="20"/>
              </w:rPr>
              <w:t>Cloud hosting and backend oversight</w:t>
            </w:r>
          </w:p>
        </w:tc>
        <w:tc>
          <w:tcPr>
            <w:tcW w:type="dxa" w:w="2460"/>
            <w:tcBorders>
              <w:top w:val="single" w:sz="6" w:space="0" w:color="CCD8E3"/>
              <w:left w:val="single" w:sz="6" w:space="0" w:color="CCD8E3"/>
              <w:bottom w:val="single" w:sz="6" w:space="0" w:color="CCD8E3"/>
              <w:right w:val="single" w:sz="6" w:space="0" w:color="CCD8E3"/>
            </w:tcBorders>
          </w:tcPr>
          <w:p>
            <w:pPr>
              <w:spacing w:after="0"/>
              <w:jc w:val="right"/>
            </w:pPr>
            <w:r>
              <w:rPr>
                <w:rFonts w:ascii="Calibri" w:hAnsi="Calibri"/>
                <w:b/>
                <w:i w:val="0"/>
                <w:color w:val="172534"/>
                <w:sz w:val="20"/>
              </w:rPr>
              <w:t>$55.00</w:t>
            </w:r>
          </w:p>
        </w:tc>
      </w:tr>
      <w:tr>
        <w:tc>
          <w:tcPr>
            <w:tcW w:type="dxa" w:w="6900"/>
            <w:shd w:fill="F5F8FB"/>
            <w:tcBorders>
              <w:top w:val="single" w:sz="6" w:space="0" w:color="CCD8E3"/>
              <w:left w:val="single" w:sz="6" w:space="0" w:color="CCD8E3"/>
              <w:bottom w:val="single" w:sz="6" w:space="0" w:color="CCD8E3"/>
              <w:right w:val="single" w:sz="6" w:space="0" w:color="CCD8E3"/>
            </w:tcBorders>
          </w:tcPr>
          <w:p>
            <w:pPr>
              <w:spacing w:after="0"/>
            </w:pPr>
            <w:r>
              <w:rPr>
                <w:rFonts w:ascii="Calibri" w:hAnsi="Calibri"/>
                <w:b w:val="0"/>
                <w:i w:val="0"/>
                <w:color w:val="172534"/>
                <w:sz w:val="20"/>
              </w:rPr>
              <w:t>Monitoring, backups and operational checks</w:t>
            </w:r>
          </w:p>
        </w:tc>
        <w:tc>
          <w:tcPr>
            <w:tcW w:type="dxa" w:w="2460"/>
            <w:shd w:fill="F5F8FB"/>
            <w:tcBorders>
              <w:top w:val="single" w:sz="6" w:space="0" w:color="CCD8E3"/>
              <w:left w:val="single" w:sz="6" w:space="0" w:color="CCD8E3"/>
              <w:bottom w:val="single" w:sz="6" w:space="0" w:color="CCD8E3"/>
              <w:right w:val="single" w:sz="6" w:space="0" w:color="CCD8E3"/>
            </w:tcBorders>
          </w:tcPr>
          <w:p>
            <w:pPr>
              <w:spacing w:after="0"/>
              <w:jc w:val="right"/>
            </w:pPr>
            <w:r>
              <w:rPr>
                <w:rFonts w:ascii="Calibri" w:hAnsi="Calibri"/>
                <w:b/>
                <w:i w:val="0"/>
                <w:color w:val="172534"/>
                <w:sz w:val="20"/>
              </w:rPr>
              <w:t>$30.00</w:t>
            </w:r>
          </w:p>
        </w:tc>
      </w:tr>
      <w:tr>
        <w:tc>
          <w:tcPr>
            <w:tcW w:type="dxa" w:w="6900"/>
            <w:tcBorders>
              <w:top w:val="single" w:sz="6" w:space="0" w:color="CCD8E3"/>
              <w:left w:val="single" w:sz="6" w:space="0" w:color="CCD8E3"/>
              <w:bottom w:val="single" w:sz="6" w:space="0" w:color="CCD8E3"/>
              <w:right w:val="single" w:sz="6" w:space="0" w:color="CCD8E3"/>
            </w:tcBorders>
          </w:tcPr>
          <w:p>
            <w:pPr>
              <w:spacing w:after="0"/>
            </w:pPr>
            <w:r>
              <w:rPr>
                <w:rFonts w:ascii="Calibri" w:hAnsi="Calibri"/>
                <w:b w:val="0"/>
                <w:i w:val="0"/>
                <w:color w:val="172534"/>
                <w:sz w:val="20"/>
              </w:rPr>
              <w:t>Maintenance and priority bug fixes</w:t>
            </w:r>
          </w:p>
        </w:tc>
        <w:tc>
          <w:tcPr>
            <w:tcW w:type="dxa" w:w="2460"/>
            <w:tcBorders>
              <w:top w:val="single" w:sz="6" w:space="0" w:color="CCD8E3"/>
              <w:left w:val="single" w:sz="6" w:space="0" w:color="CCD8E3"/>
              <w:bottom w:val="single" w:sz="6" w:space="0" w:color="CCD8E3"/>
              <w:right w:val="single" w:sz="6" w:space="0" w:color="CCD8E3"/>
            </w:tcBorders>
          </w:tcPr>
          <w:p>
            <w:pPr>
              <w:spacing w:after="0"/>
              <w:jc w:val="right"/>
            </w:pPr>
            <w:r>
              <w:rPr>
                <w:rFonts w:ascii="Calibri" w:hAnsi="Calibri"/>
                <w:b/>
                <w:i w:val="0"/>
                <w:color w:val="172534"/>
                <w:sz w:val="20"/>
              </w:rPr>
              <w:t>$35.00</w:t>
            </w:r>
          </w:p>
        </w:tc>
      </w:tr>
      <w:tr>
        <w:tc>
          <w:tcPr>
            <w:tcW w:type="dxa" w:w="6900"/>
            <w:shd w:fill="F5F8FB"/>
            <w:tcBorders>
              <w:top w:val="single" w:sz="6" w:space="0" w:color="CCD8E3"/>
              <w:left w:val="single" w:sz="6" w:space="0" w:color="CCD8E3"/>
              <w:bottom w:val="single" w:sz="6" w:space="0" w:color="CCD8E3"/>
              <w:right w:val="single" w:sz="6" w:space="0" w:color="CCD8E3"/>
            </w:tcBorders>
          </w:tcPr>
          <w:p>
            <w:pPr>
              <w:spacing w:after="0"/>
            </w:pPr>
            <w:r>
              <w:rPr>
                <w:rFonts w:ascii="Calibri" w:hAnsi="Calibri"/>
                <w:b w:val="0"/>
                <w:i w:val="0"/>
                <w:color w:val="172534"/>
                <w:sz w:val="20"/>
              </w:rPr>
              <w:t>Support and minor content/configuration updates</w:t>
            </w:r>
          </w:p>
        </w:tc>
        <w:tc>
          <w:tcPr>
            <w:tcW w:type="dxa" w:w="2460"/>
            <w:shd w:fill="F5F8FB"/>
            <w:tcBorders>
              <w:top w:val="single" w:sz="6" w:space="0" w:color="CCD8E3"/>
              <w:left w:val="single" w:sz="6" w:space="0" w:color="CCD8E3"/>
              <w:bottom w:val="single" w:sz="6" w:space="0" w:color="CCD8E3"/>
              <w:right w:val="single" w:sz="6" w:space="0" w:color="CCD8E3"/>
            </w:tcBorders>
          </w:tcPr>
          <w:p>
            <w:pPr>
              <w:spacing w:after="0"/>
              <w:jc w:val="right"/>
            </w:pPr>
            <w:r>
              <w:rPr>
                <w:rFonts w:ascii="Calibri" w:hAnsi="Calibri"/>
                <w:b/>
                <w:i w:val="0"/>
                <w:color w:val="172534"/>
                <w:sz w:val="20"/>
              </w:rPr>
              <w:t>$29.99</w:t>
            </w:r>
          </w:p>
        </w:tc>
      </w:tr>
      <w:tr>
        <w:tc>
          <w:tcPr>
            <w:tcW w:type="dxa" w:w="6900"/>
            <w:shd w:fill="EAF3FA"/>
            <w:tcBorders>
              <w:top w:val="single" w:sz="14" w:space="0" w:color="125A98"/>
              <w:left w:val="single" w:sz="6" w:space="0" w:color="CCD8E3"/>
              <w:bottom w:val="single" w:sz="6" w:space="0" w:color="CCD8E3"/>
              <w:right w:val="single" w:sz="6" w:space="0" w:color="CCD8E3"/>
            </w:tcBorders>
          </w:tcPr>
          <w:p>
            <w:pPr>
              <w:spacing w:after="0"/>
            </w:pPr>
            <w:r>
              <w:rPr>
                <w:rFonts w:ascii="Calibri" w:hAnsi="Calibri"/>
                <w:b/>
                <w:i w:val="0"/>
                <w:color w:val="0A3154"/>
                <w:sz w:val="23"/>
              </w:rPr>
              <w:t>MONTHLY SERVICE TOTAL</w:t>
            </w:r>
          </w:p>
        </w:tc>
        <w:tc>
          <w:tcPr>
            <w:tcW w:type="dxa" w:w="2460"/>
            <w:shd w:fill="EAF3FA"/>
            <w:tcBorders>
              <w:top w:val="single" w:sz="14" w:space="0" w:color="125A98"/>
              <w:left w:val="single" w:sz="6" w:space="0" w:color="CCD8E3"/>
              <w:bottom w:val="single" w:sz="6" w:space="0" w:color="CCD8E3"/>
              <w:right w:val="single" w:sz="6" w:space="0" w:color="CCD8E3"/>
            </w:tcBorders>
          </w:tcPr>
          <w:p>
            <w:pPr>
              <w:spacing w:after="0"/>
              <w:jc w:val="right"/>
            </w:pPr>
            <w:r>
              <w:rPr>
                <w:rFonts w:ascii="Calibri" w:hAnsi="Calibri"/>
                <w:b/>
                <w:i w:val="0"/>
                <w:color w:val="125A98"/>
                <w:sz w:val="24"/>
              </w:rPr>
              <w:t>$149.99 / month</w:t>
            </w:r>
          </w:p>
        </w:tc>
      </w:tr>
    </w:tbl>
    <w:p>
      <w:pPr>
        <w:spacing w:after="40" w:line="264" w:lineRule="auto"/>
      </w:pPr>
      <w:r>
        <w:rPr>
          <w:rFonts w:ascii="Calibri" w:hAnsi="Calibri"/>
          <w:b w:val="0"/>
          <w:i/>
          <w:color w:val="172534"/>
          <w:sz w:val="21"/>
        </w:rPr>
        <w:t>The monthly service begins after production launch. It is within the requested $120-$180 monthly operating range and may be reviewed if usage, storage, messaging volume or support requirements increase materially.</w:t>
      </w:r>
    </w:p>
    <w:p>
      <w:pPr>
        <w:pStyle w:val="Heading1"/>
        <w:keepNext/>
        <w:spacing w:before="180" w:after="80"/>
      </w:pPr>
      <w:r>
        <w:t>6. Delivery, payment and assumptions</w:t>
      </w:r>
    </w:p>
    <w:tbl>
      <w:tblPr>
        <w:tblW w:type="dxa" w:w="9360"/>
        <w:jc w:val="left"/>
        <w:tblLayout w:type="fixed"/>
        <w:tblLook w:firstColumn="1" w:firstRow="1" w:lastColumn="0" w:lastRow="0" w:noHBand="0" w:noVBand="1" w:val="04A0"/>
        <w:tblInd w:w="120" w:type="dxa"/>
      </w:tblPr>
      <w:tblGrid>
        <w:gridCol w:w="2500"/>
        <w:gridCol w:w="6860"/>
      </w:tblGrid>
      <w:tr>
        <w:tc>
          <w:tcPr>
            <w:tcW w:type="dxa" w:w="2500"/>
            <w:shd w:fill="EAF3FA"/>
            <w:tcBorders>
              <w:top w:val="single" w:sz="5" w:space="0" w:color="CCD8E3"/>
              <w:left w:val="single" w:sz="5" w:space="0" w:color="CCD8E3"/>
              <w:bottom w:val="single" w:sz="5" w:space="0" w:color="CCD8E3"/>
              <w:right w:val="single" w:sz="5" w:space="0" w:color="CCD8E3"/>
            </w:tcBorders>
          </w:tcPr>
          <w:p>
            <w:pPr>
              <w:spacing w:after="0"/>
            </w:pPr>
            <w:r>
              <w:rPr>
                <w:rFonts w:ascii="Calibri" w:hAnsi="Calibri"/>
                <w:b/>
                <w:i w:val="0"/>
                <w:color w:val="0A3154"/>
                <w:sz w:val="19"/>
              </w:rPr>
              <w:t>Estimated delivery</w:t>
            </w:r>
          </w:p>
        </w:tc>
        <w:tc>
          <w:tcPr>
            <w:tcW w:type="dxa" w:w="6860"/>
            <w:tcBorders>
              <w:top w:val="single" w:sz="5" w:space="0" w:color="CCD8E3"/>
              <w:left w:val="single" w:sz="5" w:space="0" w:color="CCD8E3"/>
              <w:bottom w:val="single" w:sz="5" w:space="0" w:color="CCD8E3"/>
              <w:right w:val="single" w:sz="5" w:space="0" w:color="CCD8E3"/>
            </w:tcBorders>
          </w:tcPr>
          <w:p>
            <w:pPr>
              <w:spacing w:after="0"/>
            </w:pPr>
            <w:r>
              <w:rPr>
                <w:rFonts w:ascii="Calibri" w:hAnsi="Calibri"/>
                <w:b w:val="0"/>
                <w:i w:val="0"/>
                <w:color w:val="172534"/>
                <w:sz w:val="19"/>
              </w:rPr>
              <w:t>6-8 weeks from approval, deposit and receipt of final content/access credentials.</w:t>
            </w:r>
          </w:p>
        </w:tc>
      </w:tr>
      <w:tr>
        <w:tc>
          <w:tcPr>
            <w:tcW w:type="dxa" w:w="2500"/>
            <w:shd w:fill="EAF3FA"/>
            <w:tcBorders>
              <w:top w:val="single" w:sz="5" w:space="0" w:color="CCD8E3"/>
              <w:left w:val="single" w:sz="5" w:space="0" w:color="CCD8E3"/>
              <w:bottom w:val="single" w:sz="5" w:space="0" w:color="CCD8E3"/>
              <w:right w:val="single" w:sz="5" w:space="0" w:color="CCD8E3"/>
            </w:tcBorders>
          </w:tcPr>
          <w:p>
            <w:pPr>
              <w:spacing w:after="0"/>
            </w:pPr>
            <w:r>
              <w:rPr>
                <w:rFonts w:ascii="Calibri" w:hAnsi="Calibri"/>
                <w:b/>
                <w:i w:val="0"/>
                <w:color w:val="0A3154"/>
                <w:sz w:val="19"/>
              </w:rPr>
              <w:t>Payment milestones</w:t>
            </w:r>
          </w:p>
        </w:tc>
        <w:tc>
          <w:tcPr>
            <w:tcW w:type="dxa" w:w="6860"/>
            <w:tcBorders>
              <w:top w:val="single" w:sz="5" w:space="0" w:color="CCD8E3"/>
              <w:left w:val="single" w:sz="5" w:space="0" w:color="CCD8E3"/>
              <w:bottom w:val="single" w:sz="5" w:space="0" w:color="CCD8E3"/>
              <w:right w:val="single" w:sz="5" w:space="0" w:color="CCD8E3"/>
            </w:tcBorders>
          </w:tcPr>
          <w:p>
            <w:pPr>
              <w:spacing w:after="0"/>
            </w:pPr>
            <w:r>
              <w:rPr>
                <w:rFonts w:ascii="Calibri" w:hAnsi="Calibri"/>
                <w:b w:val="0"/>
                <w:i w:val="0"/>
                <w:color w:val="172534"/>
                <w:sz w:val="19"/>
              </w:rPr>
              <w:t>$600.00 deposit to commence; $360.00 at functional beta; $239.99 before production release.</w:t>
            </w:r>
          </w:p>
        </w:tc>
      </w:tr>
      <w:tr>
        <w:tc>
          <w:tcPr>
            <w:tcW w:type="dxa" w:w="2500"/>
            <w:shd w:fill="EAF3FA"/>
            <w:tcBorders>
              <w:top w:val="single" w:sz="5" w:space="0" w:color="CCD8E3"/>
              <w:left w:val="single" w:sz="5" w:space="0" w:color="CCD8E3"/>
              <w:bottom w:val="single" w:sz="5" w:space="0" w:color="CCD8E3"/>
              <w:right w:val="single" w:sz="5" w:space="0" w:color="CCD8E3"/>
            </w:tcBorders>
          </w:tcPr>
          <w:p>
            <w:pPr>
              <w:spacing w:after="0"/>
            </w:pPr>
            <w:r>
              <w:rPr>
                <w:rFonts w:ascii="Calibri" w:hAnsi="Calibri"/>
                <w:b/>
                <w:i w:val="0"/>
                <w:color w:val="0A3154"/>
                <w:sz w:val="19"/>
              </w:rPr>
              <w:t>Included revisions</w:t>
            </w:r>
          </w:p>
        </w:tc>
        <w:tc>
          <w:tcPr>
            <w:tcW w:type="dxa" w:w="6860"/>
            <w:tcBorders>
              <w:top w:val="single" w:sz="5" w:space="0" w:color="CCD8E3"/>
              <w:left w:val="single" w:sz="5" w:space="0" w:color="CCD8E3"/>
              <w:bottom w:val="single" w:sz="5" w:space="0" w:color="CCD8E3"/>
              <w:right w:val="single" w:sz="5" w:space="0" w:color="CCD8E3"/>
            </w:tcBorders>
          </w:tcPr>
          <w:p>
            <w:pPr>
              <w:spacing w:after="0"/>
            </w:pPr>
            <w:r>
              <w:rPr>
                <w:rFonts w:ascii="Calibri" w:hAnsi="Calibri"/>
                <w:b w:val="0"/>
                <w:i w:val="0"/>
                <w:color w:val="172534"/>
                <w:sz w:val="19"/>
              </w:rPr>
              <w:t>Two reasonable review rounds during the agreed design and beta stages.</w:t>
            </w:r>
          </w:p>
        </w:tc>
      </w:tr>
      <w:tr>
        <w:tc>
          <w:tcPr>
            <w:tcW w:type="dxa" w:w="2500"/>
            <w:shd w:fill="EAF3FA"/>
            <w:tcBorders>
              <w:top w:val="single" w:sz="5" w:space="0" w:color="CCD8E3"/>
              <w:left w:val="single" w:sz="5" w:space="0" w:color="CCD8E3"/>
              <w:bottom w:val="single" w:sz="5" w:space="0" w:color="CCD8E3"/>
              <w:right w:val="single" w:sz="5" w:space="0" w:color="CCD8E3"/>
            </w:tcBorders>
          </w:tcPr>
          <w:p>
            <w:pPr>
              <w:spacing w:after="0"/>
            </w:pPr>
            <w:r>
              <w:rPr>
                <w:rFonts w:ascii="Calibri" w:hAnsi="Calibri"/>
                <w:b/>
                <w:i w:val="0"/>
                <w:color w:val="0A3154"/>
                <w:sz w:val="19"/>
              </w:rPr>
              <w:t>Warranty</w:t>
            </w:r>
          </w:p>
        </w:tc>
        <w:tc>
          <w:tcPr>
            <w:tcW w:type="dxa" w:w="6860"/>
            <w:tcBorders>
              <w:top w:val="single" w:sz="5" w:space="0" w:color="CCD8E3"/>
              <w:left w:val="single" w:sz="5" w:space="0" w:color="CCD8E3"/>
              <w:bottom w:val="single" w:sz="5" w:space="0" w:color="CCD8E3"/>
              <w:right w:val="single" w:sz="5" w:space="0" w:color="CCD8E3"/>
            </w:tcBorders>
          </w:tcPr>
          <w:p>
            <w:pPr>
              <w:spacing w:after="0"/>
            </w:pPr>
            <w:r>
              <w:rPr>
                <w:rFonts w:ascii="Calibri" w:hAnsi="Calibri"/>
                <w:b w:val="0"/>
                <w:i w:val="0"/>
                <w:color w:val="172534"/>
                <w:sz w:val="19"/>
              </w:rPr>
              <w:t>30-day post-launch correction period for defects in the agreed scope.</w:t>
            </w:r>
          </w:p>
        </w:tc>
      </w:tr>
      <w:tr>
        <w:tc>
          <w:tcPr>
            <w:tcW w:type="dxa" w:w="2500"/>
            <w:shd w:fill="EAF3FA"/>
            <w:tcBorders>
              <w:top w:val="single" w:sz="5" w:space="0" w:color="CCD8E3"/>
              <w:left w:val="single" w:sz="5" w:space="0" w:color="CCD8E3"/>
              <w:bottom w:val="single" w:sz="5" w:space="0" w:color="CCD8E3"/>
              <w:right w:val="single" w:sz="5" w:space="0" w:color="CCD8E3"/>
            </w:tcBorders>
          </w:tcPr>
          <w:p>
            <w:pPr>
              <w:spacing w:after="0"/>
            </w:pPr>
            <w:r>
              <w:rPr>
                <w:rFonts w:ascii="Calibri" w:hAnsi="Calibri"/>
                <w:b/>
                <w:i w:val="0"/>
                <w:color w:val="0A3154"/>
                <w:sz w:val="19"/>
              </w:rPr>
              <w:t>Quotation validity</w:t>
            </w:r>
          </w:p>
        </w:tc>
        <w:tc>
          <w:tcPr>
            <w:tcW w:type="dxa" w:w="6860"/>
            <w:tcBorders>
              <w:top w:val="single" w:sz="5" w:space="0" w:color="CCD8E3"/>
              <w:left w:val="single" w:sz="5" w:space="0" w:color="CCD8E3"/>
              <w:bottom w:val="single" w:sz="5" w:space="0" w:color="CCD8E3"/>
              <w:right w:val="single" w:sz="5" w:space="0" w:color="CCD8E3"/>
            </w:tcBorders>
          </w:tcPr>
          <w:p>
            <w:pPr>
              <w:spacing w:after="0"/>
            </w:pPr>
            <w:r>
              <w:rPr>
                <w:rFonts w:ascii="Calibri" w:hAnsi="Calibri"/>
                <w:b w:val="0"/>
                <w:i w:val="0"/>
                <w:color w:val="172534"/>
                <w:sz w:val="19"/>
              </w:rPr>
              <w:t>30 days from 16 July 2026.</w:t>
            </w:r>
          </w:p>
        </w:tc>
      </w:tr>
    </w:tbl>
    <w:p>
      <w:pPr>
        <w:pStyle w:val="Heading1"/>
        <w:keepNext/>
        <w:spacing w:before="180" w:after="80"/>
      </w:pPr>
      <w:r>
        <w:t>7. Exclusions and change control</w:t>
      </w:r>
    </w:p>
    <w:p>
      <w:pPr>
        <w:spacing w:after="40" w:line="264" w:lineRule="auto"/>
      </w:pPr>
      <w:r>
        <w:rPr>
          <w:rFonts w:ascii="Calibri" w:hAnsi="Calibri"/>
          <w:b w:val="0"/>
          <w:i w:val="0"/>
          <w:color w:val="172534"/>
          <w:sz w:val="21"/>
        </w:rPr>
        <w:t>Unless expressly included above, the quotation excludes Google Play or Apple developer-account charges, payment-processor fees, SMS/WhatsApp/email usage charges, paid third-party services, hardware, data migration beyond supplied formats, and major features requested after scope approval. Additional work will be estimated and approved in writing before implementation.</w:t>
      </w:r>
    </w:p>
    <w:p>
      <w:pPr>
        <w:pStyle w:val="Heading1"/>
        <w:keepNext/>
        <w:spacing w:before="180" w:after="80"/>
      </w:pPr>
      <w:r>
        <w:t>Acceptance</w:t>
      </w:r>
    </w:p>
    <w:p>
      <w:pPr>
        <w:spacing w:after="40" w:line="264" w:lineRule="auto"/>
      </w:pPr>
      <w:r>
        <w:rPr>
          <w:rFonts w:ascii="Calibri" w:hAnsi="Calibri"/>
          <w:b w:val="0"/>
          <w:i w:val="0"/>
          <w:color w:val="172534"/>
          <w:sz w:val="21"/>
        </w:rPr>
        <w:t>Approval of this quotation confirms the scope, fixed project price and payment schedule described above. Final implementation will also be governed by a short project agreement and agreed delivery checklist.</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100" w:type="dxa"/>
              <w:start w:w="140" w:type="dxa"/>
              <w:bottom w:w="100" w:type="dxa"/>
              <w:end w:w="140" w:type="dxa"/>
            </w:tcMar>
            <w:vAlign w:val="center"/>
            <w:tcBorders>
              <w:top w:val="single" w:sz="5" w:color="CCD8E3"/>
            </w:tcBorders>
          </w:tcPr>
          <w:p>
            <w:pPr>
              <w:spacing w:before="0" w:after="0"/>
            </w:pPr>
            <w:r>
              <w:rPr>
                <w:rFonts w:ascii="Calibri" w:hAnsi="Calibri"/>
                <w:b/>
                <w:i w:val="0"/>
                <w:color w:val="607080"/>
                <w:sz w:val="17"/>
              </w:rPr>
              <w:t>FOR ZIMBABWE SHIPPING</w:t>
              <w:br/>
            </w:r>
            <w:r>
              <w:rPr>
                <w:rFonts w:ascii="Calibri" w:hAnsi="Calibri"/>
                <w:b w:val="0"/>
                <w:i w:val="0"/>
                <w:color w:val="172534"/>
                <w:sz w:val="17"/>
              </w:rPr>
              <w:t>Name / signature: ____________________</w:t>
              <w:br/>
              <w:t>Date: ______________</w:t>
            </w:r>
          </w:p>
        </w:tc>
        <w:tc>
          <w:tcPr>
            <w:tcW w:type="dxa" w:w="4680"/>
            <w:tcMar>
              <w:top w:w="100" w:type="dxa"/>
              <w:start w:w="140" w:type="dxa"/>
              <w:bottom w:w="100" w:type="dxa"/>
              <w:end w:w="140" w:type="dxa"/>
            </w:tcMar>
            <w:vAlign w:val="center"/>
            <w:tcBorders>
              <w:top w:val="single" w:sz="5" w:color="CCD8E3"/>
            </w:tcBorders>
          </w:tcPr>
          <w:p>
            <w:pPr>
              <w:spacing w:before="0" w:after="0"/>
            </w:pPr>
            <w:r>
              <w:rPr>
                <w:rFonts w:ascii="Calibri" w:hAnsi="Calibri"/>
                <w:b/>
                <w:i w:val="0"/>
                <w:color w:val="607080"/>
                <w:sz w:val="17"/>
              </w:rPr>
              <w:t>FOR VOYAGE TECH</w:t>
              <w:br/>
            </w:r>
            <w:r>
              <w:rPr>
                <w:rFonts w:ascii="Calibri" w:hAnsi="Calibri"/>
                <w:b w:val="0"/>
                <w:i w:val="0"/>
                <w:color w:val="172534"/>
                <w:sz w:val="17"/>
              </w:rPr>
              <w:t>Name / signature: ____________________</w:t>
              <w:br/>
              <w:t>Date: ______________</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7200"/>
      <w:gridCol w:w="2160"/>
    </w:tblGrid>
    <w:tr>
      <w:tc>
        <w:tcPr>
          <w:tcW w:type="dxa" w:w="7200"/>
          <w:tcMar>
            <w:top w:w="100" w:type="dxa"/>
            <w:start w:w="140" w:type="dxa"/>
            <w:bottom w:w="100" w:type="dxa"/>
            <w:end w:w="140" w:type="dxa"/>
          </w:tcMar>
          <w:vAlign w:val="center"/>
        </w:tcPr>
        <w:p>
          <w:pPr>
            <w:jc w:val="left"/>
          </w:pPr>
          <w:r>
            <w:rPr>
              <w:rFonts w:ascii="Calibri" w:hAnsi="Calibri"/>
              <w:b w:val="0"/>
              <w:i w:val="0"/>
              <w:color w:val="607080"/>
              <w:sz w:val="17"/>
            </w:rPr>
            <w:t>Voyage Tech | Confidential commercial quotation</w:t>
          </w:r>
        </w:p>
      </w:tc>
      <w:tc>
        <w:tcPr>
          <w:tcW w:type="dxa" w:w="2160"/>
          <w:tcMar>
            <w:top w:w="100" w:type="dxa"/>
            <w:start w:w="140" w:type="dxa"/>
            <w:bottom w:w="100" w:type="dxa"/>
            <w:end w:w="140" w:type="dxa"/>
          </w:tcMar>
          <w:vAlign w:val="center"/>
        </w:tcPr>
        <w:p>
          <w:pPr>
            <w:jc w:val="right"/>
          </w:pPr>
          <w:r>
            <w:rPr>
              <w:rFonts w:ascii="Calibri" w:hAnsi="Calibri"/>
              <w:b w:val="0"/>
              <w:i w:val="0"/>
              <w:color w:val="607080"/>
              <w:sz w:val="17"/>
            </w:rPr>
            <w:t xml:space="preserve">Page </w:t>
          </w:r>
          <w:r>
            <w:rPr>
              <w:rFonts w:ascii="Calibri" w:hAnsi="Calibri"/>
              <w:b w:val="0"/>
              <w:i w:val="0"/>
              <w:color w:val="607080"/>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607080"/>
        <w:sz w:val="17"/>
      </w:rPr>
      <w:t>VOYAGE TECH  |  SOFTWARE QUOTATION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5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25A9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25A9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A315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Zimbabwe Shipping Mobile Apps - Commercial Quotation</dc:title>
  <dc:subject>Quotation for customer and staff mobile applications</dc:subject>
  <dc:creator>Voyage Tech</dc:creator>
  <cp:keywords/>
  <dc:description>Prepared for Zimbabwe Shipping</dc:description>
  <cp:lastModifiedBy/>
  <cp:revision>1</cp:revision>
  <dcterms:created xsi:type="dcterms:W3CDTF">2013-12-23T23:15:00Z</dcterms:created>
  <dcterms:modified xsi:type="dcterms:W3CDTF">2013-12-23T23:15:00Z</dcterms:modified>
  <cp:category/>
</cp:coreProperties>
</file>