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D00E4" w14:textId="77777777" w:rsidR="00FD4E7B" w:rsidRDefault="00FD4E7B">
      <w:pPr>
        <w:spacing w:before="1800"/>
      </w:pPr>
    </w:p>
    <w:p w14:paraId="6FA8069D" w14:textId="77777777" w:rsidR="00FD4E7B" w:rsidRDefault="00000000">
      <w:pPr>
        <w:jc w:val="center"/>
      </w:pPr>
      <w:r>
        <w:rPr>
          <w:rFonts w:ascii="Arial" w:eastAsia="Arial" w:hAnsi="Arial" w:cs="Arial"/>
          <w:sz w:val="24"/>
          <w:szCs w:val="24"/>
        </w:rPr>
        <w:t>National University of Singapore</w:t>
      </w:r>
    </w:p>
    <w:p w14:paraId="1C12A26F" w14:textId="77777777" w:rsidR="00FD4E7B" w:rsidRDefault="00000000">
      <w:pPr>
        <w:spacing w:before="60"/>
        <w:jc w:val="center"/>
      </w:pPr>
      <w:r>
        <w:rPr>
          <w:rFonts w:ascii="Arial" w:eastAsia="Arial" w:hAnsi="Arial" w:cs="Arial"/>
          <w:sz w:val="24"/>
          <w:szCs w:val="24"/>
        </w:rPr>
        <w:t>School of Continuing and Lifelong Education (SCALE)</w:t>
      </w:r>
    </w:p>
    <w:p w14:paraId="11EE374C" w14:textId="77777777" w:rsidR="00FD4E7B" w:rsidRDefault="00000000">
      <w:pPr>
        <w:spacing w:before="120"/>
        <w:jc w:val="center"/>
      </w:pPr>
      <w:r>
        <w:rPr>
          <w:rFonts w:ascii="Arial" w:eastAsia="Arial" w:hAnsi="Arial" w:cs="Arial"/>
          <w:sz w:val="24"/>
          <w:szCs w:val="24"/>
        </w:rPr>
        <w:t>Master of Science (Smart Industries and Digital Transformation)</w:t>
      </w:r>
    </w:p>
    <w:p w14:paraId="7ACC1035" w14:textId="77777777" w:rsidR="00FD4E7B" w:rsidRDefault="00000000">
      <w:pPr>
        <w:spacing w:before="60"/>
        <w:jc w:val="center"/>
      </w:pPr>
      <w:r>
        <w:rPr>
          <w:rFonts w:ascii="Arial" w:eastAsia="Arial" w:hAnsi="Arial" w:cs="Arial"/>
          <w:sz w:val="24"/>
          <w:szCs w:val="24"/>
        </w:rPr>
        <w:t>IND5005B</w:t>
      </w:r>
    </w:p>
    <w:p w14:paraId="0196CAE7" w14:textId="77777777" w:rsidR="00FD4E7B" w:rsidRDefault="00FD4E7B">
      <w:pPr>
        <w:spacing w:before="800"/>
      </w:pPr>
    </w:p>
    <w:p w14:paraId="10F2A6F5" w14:textId="77777777" w:rsidR="00FD4E7B" w:rsidRDefault="00000000">
      <w:pPr>
        <w:jc w:val="center"/>
      </w:pPr>
      <w:proofErr w:type="gramStart"/>
      <w:r>
        <w:rPr>
          <w:rFonts w:ascii="Arial" w:eastAsia="Arial" w:hAnsi="Arial" w:cs="Arial"/>
          <w:b/>
          <w:bCs/>
          <w:sz w:val="36"/>
          <w:szCs w:val="36"/>
        </w:rPr>
        <w:t>Open Source</w:t>
      </w:r>
      <w:proofErr w:type="gramEnd"/>
      <w:r>
        <w:rPr>
          <w:rFonts w:ascii="Arial" w:eastAsia="Arial" w:hAnsi="Arial" w:cs="Arial"/>
          <w:b/>
          <w:bCs/>
          <w:sz w:val="36"/>
          <w:szCs w:val="36"/>
        </w:rPr>
        <w:t xml:space="preserve"> 3D Bin Packing Solution</w:t>
      </w:r>
    </w:p>
    <w:p w14:paraId="47FBD0D5" w14:textId="77777777" w:rsidR="00FD4E7B" w:rsidRDefault="00000000">
      <w:pPr>
        <w:spacing w:before="120"/>
        <w:jc w:val="center"/>
      </w:pPr>
      <w:r>
        <w:rPr>
          <w:rFonts w:ascii="Arial" w:eastAsia="Arial" w:hAnsi="Arial" w:cs="Arial"/>
          <w:b/>
          <w:bCs/>
          <w:sz w:val="28"/>
          <w:szCs w:val="28"/>
        </w:rPr>
        <w:t>Interim Report</w:t>
      </w:r>
    </w:p>
    <w:p w14:paraId="228759D4" w14:textId="77777777" w:rsidR="00FD4E7B" w:rsidRDefault="00FD4E7B">
      <w:pPr>
        <w:spacing w:before="800"/>
      </w:pPr>
    </w:p>
    <w:p w14:paraId="3D8DDF1A" w14:textId="77777777" w:rsidR="00FD4E7B" w:rsidRDefault="00000000">
      <w:pPr>
        <w:jc w:val="center"/>
      </w:pPr>
      <w:r>
        <w:rPr>
          <w:rFonts w:ascii="Arial" w:eastAsia="Arial" w:hAnsi="Arial" w:cs="Arial"/>
          <w:b/>
          <w:bCs/>
          <w:sz w:val="22"/>
          <w:szCs w:val="22"/>
        </w:rPr>
        <w:t>Group Members:</w:t>
      </w:r>
    </w:p>
    <w:p w14:paraId="06B4AE0F" w14:textId="77777777" w:rsidR="00FD4E7B" w:rsidRDefault="00000000">
      <w:pPr>
        <w:spacing w:before="120"/>
        <w:jc w:val="center"/>
      </w:pPr>
      <w:r>
        <w:rPr>
          <w:rFonts w:ascii="Arial" w:eastAsia="Arial" w:hAnsi="Arial" w:cs="Arial"/>
          <w:sz w:val="22"/>
          <w:szCs w:val="22"/>
        </w:rPr>
        <w:t>Chai Jie Shen (A0211396H)</w:t>
      </w:r>
    </w:p>
    <w:p w14:paraId="5C861F1C" w14:textId="77777777" w:rsidR="00FD4E7B" w:rsidRDefault="00000000">
      <w:pPr>
        <w:spacing w:before="40"/>
        <w:jc w:val="center"/>
      </w:pPr>
      <w:proofErr w:type="spellStart"/>
      <w:r>
        <w:rPr>
          <w:rFonts w:ascii="Arial" w:eastAsia="Arial" w:hAnsi="Arial" w:cs="Arial"/>
          <w:sz w:val="22"/>
          <w:szCs w:val="22"/>
        </w:rPr>
        <w:t>Voycevestern</w:t>
      </w:r>
      <w:proofErr w:type="spellEnd"/>
      <w:r>
        <w:rPr>
          <w:rFonts w:ascii="Arial" w:eastAsia="Arial" w:hAnsi="Arial" w:cs="Arial"/>
          <w:sz w:val="22"/>
          <w:szCs w:val="22"/>
        </w:rPr>
        <w:t xml:space="preserve"> Peh (A0329847L)</w:t>
      </w:r>
    </w:p>
    <w:p w14:paraId="20644EB7" w14:textId="77777777" w:rsidR="00FD4E7B" w:rsidRDefault="00000000">
      <w:pPr>
        <w:spacing w:before="40"/>
        <w:jc w:val="center"/>
      </w:pPr>
      <w:r>
        <w:rPr>
          <w:rFonts w:ascii="Arial" w:eastAsia="Arial" w:hAnsi="Arial" w:cs="Arial"/>
          <w:sz w:val="22"/>
          <w:szCs w:val="22"/>
        </w:rPr>
        <w:t>Rajaram Jayaraman (A0228124M)</w:t>
      </w:r>
    </w:p>
    <w:p w14:paraId="432C7847" w14:textId="77777777" w:rsidR="00FD4E7B" w:rsidRDefault="00FD4E7B">
      <w:pPr>
        <w:spacing w:before="1200"/>
      </w:pPr>
    </w:p>
    <w:p w14:paraId="1C0F25AB" w14:textId="77777777" w:rsidR="00FD4E7B" w:rsidRDefault="00000000">
      <w:pPr>
        <w:jc w:val="center"/>
      </w:pPr>
      <w:r>
        <w:rPr>
          <w:rFonts w:ascii="Arial" w:eastAsia="Arial" w:hAnsi="Arial" w:cs="Arial"/>
          <w:sz w:val="22"/>
          <w:szCs w:val="22"/>
        </w:rPr>
        <w:t>Date: 21 October 2026</w:t>
      </w:r>
    </w:p>
    <w:p w14:paraId="0C24DDDA" w14:textId="77777777" w:rsidR="00FD4E7B" w:rsidRDefault="00000000">
      <w:r>
        <w:br w:type="page"/>
      </w:r>
    </w:p>
    <w:p w14:paraId="7D5FA7AB" w14:textId="77777777" w:rsidR="00FD4E7B" w:rsidRDefault="00000000">
      <w:pPr>
        <w:pStyle w:val="Heading1"/>
        <w:spacing w:before="360" w:after="200"/>
      </w:pPr>
      <w:r>
        <w:rPr>
          <w:rFonts w:ascii="Arial" w:eastAsia="Arial" w:hAnsi="Arial" w:cs="Arial"/>
          <w:b/>
          <w:bCs/>
          <w:color w:val="1A1A1A"/>
          <w:sz w:val="30"/>
          <w:szCs w:val="30"/>
        </w:rPr>
        <w:lastRenderedPageBreak/>
        <w:t>1. Introduction</w:t>
      </w:r>
    </w:p>
    <w:p w14:paraId="59B04328" w14:textId="77777777" w:rsidR="00FD4E7B" w:rsidRDefault="00000000">
      <w:pPr>
        <w:pStyle w:val="Heading2"/>
        <w:spacing w:before="360" w:after="200"/>
      </w:pPr>
      <w:r>
        <w:rPr>
          <w:rFonts w:ascii="Arial" w:eastAsia="Arial" w:hAnsi="Arial" w:cs="Arial"/>
          <w:b/>
          <w:bCs/>
          <w:color w:val="1A1A1A"/>
        </w:rPr>
        <w:t>1.1 Project Scope</w:t>
      </w:r>
    </w:p>
    <w:p w14:paraId="5A0D2F12" w14:textId="77777777" w:rsidR="00FD4E7B" w:rsidRDefault="00000000">
      <w:pPr>
        <w:spacing w:after="200" w:line="480" w:lineRule="auto"/>
        <w:jc w:val="both"/>
      </w:pPr>
      <w:r>
        <w:rPr>
          <w:rFonts w:ascii="Arial" w:eastAsia="Arial" w:hAnsi="Arial" w:cs="Arial"/>
          <w:sz w:val="22"/>
          <w:szCs w:val="22"/>
        </w:rPr>
        <w:t xml:space="preserve">This project develops an </w:t>
      </w:r>
      <w:proofErr w:type="gramStart"/>
      <w:r>
        <w:rPr>
          <w:rFonts w:ascii="Arial" w:eastAsia="Arial" w:hAnsi="Arial" w:cs="Arial"/>
          <w:sz w:val="22"/>
          <w:szCs w:val="22"/>
        </w:rPr>
        <w:t>open source</w:t>
      </w:r>
      <w:proofErr w:type="gramEnd"/>
      <w:r>
        <w:rPr>
          <w:rFonts w:ascii="Arial" w:eastAsia="Arial" w:hAnsi="Arial" w:cs="Arial"/>
          <w:sz w:val="22"/>
          <w:szCs w:val="22"/>
        </w:rPr>
        <w:t xml:space="preserve"> 3D bin packing solution for iHub Solutions. Given an order's items, a box catalogue, and a set of packing rules, the solver recommends which carton(s) to use, where each item goes, and in what orientation, while minimising the number of cartons used and respecting weight, buffer, and fill constraints.</w:t>
      </w:r>
    </w:p>
    <w:p w14:paraId="46D3A1B3" w14:textId="77777777" w:rsidR="00FD4E7B" w:rsidRDefault="00000000">
      <w:pPr>
        <w:spacing w:after="200" w:line="480" w:lineRule="auto"/>
        <w:jc w:val="both"/>
      </w:pPr>
      <w:r>
        <w:rPr>
          <w:rFonts w:ascii="Arial" w:eastAsia="Arial" w:hAnsi="Arial" w:cs="Arial"/>
          <w:sz w:val="22"/>
          <w:szCs w:val="22"/>
        </w:rPr>
        <w:t xml:space="preserve">The scope does not include reproducing iHub's historical packing decisions exactly. iHub supplied 2,000 masked historical order records as a development benchmark, but as the project's own documentation puts it, "the goal is not to reproduce every historical output exactly... the goal is to build a practical heuristic solver that is fast, explainable and measurable." History is a reference point for </w:t>
      </w:r>
      <w:proofErr w:type="gramStart"/>
      <w:r>
        <w:rPr>
          <w:rFonts w:ascii="Arial" w:eastAsia="Arial" w:hAnsi="Arial" w:cs="Arial"/>
          <w:sz w:val="22"/>
          <w:szCs w:val="22"/>
        </w:rPr>
        <w:t>plausibility,</w:t>
      </w:r>
      <w:proofErr w:type="gramEnd"/>
      <w:r>
        <w:rPr>
          <w:rFonts w:ascii="Arial" w:eastAsia="Arial" w:hAnsi="Arial" w:cs="Arial"/>
          <w:sz w:val="22"/>
          <w:szCs w:val="22"/>
        </w:rPr>
        <w:t xml:space="preserve"> not ground truth the solver is graded against line by line.</w:t>
      </w:r>
    </w:p>
    <w:p w14:paraId="3FEF39E7" w14:textId="77777777" w:rsidR="00FD4E7B" w:rsidRDefault="00000000">
      <w:pPr>
        <w:spacing w:after="200" w:line="480" w:lineRule="auto"/>
        <w:jc w:val="both"/>
      </w:pPr>
      <w:r>
        <w:rPr>
          <w:rFonts w:ascii="Arial" w:eastAsia="Arial" w:hAnsi="Arial" w:cs="Arial"/>
          <w:sz w:val="22"/>
          <w:szCs w:val="22"/>
        </w:rPr>
        <w:t xml:space="preserve">In scope: a Python package exposing a single </w:t>
      </w:r>
      <w:proofErr w:type="spellStart"/>
      <w:r>
        <w:rPr>
          <w:rFonts w:ascii="Arial" w:eastAsia="Arial" w:hAnsi="Arial" w:cs="Arial"/>
          <w:sz w:val="22"/>
          <w:szCs w:val="22"/>
        </w:rPr>
        <w:t>solve_</w:t>
      </w:r>
      <w:proofErr w:type="gramStart"/>
      <w:r>
        <w:rPr>
          <w:rFonts w:ascii="Arial" w:eastAsia="Arial" w:hAnsi="Arial" w:cs="Arial"/>
          <w:sz w:val="22"/>
          <w:szCs w:val="22"/>
        </w:rPr>
        <w:t>order</w:t>
      </w:r>
      <w:proofErr w:type="spellEnd"/>
      <w:r>
        <w:rPr>
          <w:rFonts w:ascii="Arial" w:eastAsia="Arial" w:hAnsi="Arial" w:cs="Arial"/>
          <w:sz w:val="22"/>
          <w:szCs w:val="22"/>
        </w:rPr>
        <w:t>(</w:t>
      </w:r>
      <w:proofErr w:type="gramEnd"/>
      <w:r>
        <w:rPr>
          <w:rFonts w:ascii="Arial" w:eastAsia="Arial" w:hAnsi="Arial" w:cs="Arial"/>
          <w:sz w:val="22"/>
          <w:szCs w:val="22"/>
        </w:rPr>
        <w:t xml:space="preserve">) entry point; a configurable box catalogue, not hard-coded to one set of cartons; orientation handling, including </w:t>
      </w:r>
      <w:proofErr w:type="spellStart"/>
      <w:r>
        <w:rPr>
          <w:rFonts w:ascii="Arial" w:eastAsia="Arial" w:hAnsi="Arial" w:cs="Arial"/>
          <w:sz w:val="22"/>
          <w:szCs w:val="22"/>
        </w:rPr>
        <w:t>VerticalRotation</w:t>
      </w:r>
      <w:proofErr w:type="spellEnd"/>
      <w:r>
        <w:rPr>
          <w:rFonts w:ascii="Arial" w:eastAsia="Arial" w:hAnsi="Arial" w:cs="Arial"/>
          <w:sz w:val="22"/>
          <w:szCs w:val="22"/>
        </w:rPr>
        <w:t>=0 (upright-only) items; per-carton weight limits, a configurable dimensional buffer, and a fill-percentage cap above an item-count threshold; multi-carton allocation when one carton isn't enough; and an independent validator checking every recommendation before it's returned.</w:t>
      </w:r>
    </w:p>
    <w:p w14:paraId="578D1FA5" w14:textId="77777777" w:rsidR="00FD4E7B" w:rsidRDefault="00000000">
      <w:pPr>
        <w:spacing w:after="200" w:line="480" w:lineRule="auto"/>
        <w:jc w:val="both"/>
      </w:pPr>
      <w:r>
        <w:rPr>
          <w:rFonts w:ascii="Arial" w:eastAsia="Arial" w:hAnsi="Arial" w:cs="Arial"/>
          <w:sz w:val="22"/>
          <w:szCs w:val="22"/>
        </w:rPr>
        <w:t xml:space="preserve">Out of scope for this phase: a production web API (the roadmap defers </w:t>
      </w:r>
      <w:proofErr w:type="spellStart"/>
      <w:r>
        <w:rPr>
          <w:rFonts w:ascii="Arial" w:eastAsia="Arial" w:hAnsi="Arial" w:cs="Arial"/>
          <w:sz w:val="22"/>
          <w:szCs w:val="22"/>
        </w:rPr>
        <w:t>FastAPI</w:t>
      </w:r>
      <w:proofErr w:type="spellEnd"/>
      <w:r>
        <w:rPr>
          <w:rFonts w:ascii="Arial" w:eastAsia="Arial" w:hAnsi="Arial" w:cs="Arial"/>
          <w:sz w:val="22"/>
          <w:szCs w:val="22"/>
        </w:rPr>
        <w:t xml:space="preserve"> until the core engine is stable); a provably optimal, exact solver, since 3D bin packing is strongly NP-hard (Martello et al., 2000); and matching iHub's exact historical choices where a different valid choice works just as well.</w:t>
      </w:r>
    </w:p>
    <w:p w14:paraId="0F40B264" w14:textId="77777777" w:rsidR="00C96FFB" w:rsidRDefault="00C96FFB">
      <w:pPr>
        <w:pStyle w:val="Heading2"/>
        <w:spacing w:before="360" w:after="200"/>
        <w:rPr>
          <w:rFonts w:ascii="Arial" w:eastAsia="Arial" w:hAnsi="Arial" w:cs="Arial"/>
          <w:b/>
          <w:bCs/>
          <w:color w:val="1A1A1A"/>
        </w:rPr>
      </w:pPr>
    </w:p>
    <w:p w14:paraId="1B58C649" w14:textId="77777777" w:rsidR="00C96FFB" w:rsidRDefault="00C96FFB">
      <w:pPr>
        <w:pStyle w:val="Heading2"/>
        <w:spacing w:before="360" w:after="200"/>
        <w:rPr>
          <w:rFonts w:ascii="Arial" w:eastAsia="Arial" w:hAnsi="Arial" w:cs="Arial"/>
          <w:b/>
          <w:bCs/>
          <w:color w:val="1A1A1A"/>
        </w:rPr>
      </w:pPr>
    </w:p>
    <w:p w14:paraId="35800B68" w14:textId="77777777" w:rsidR="00C96FFB" w:rsidRDefault="00C96FFB">
      <w:pPr>
        <w:pStyle w:val="Heading2"/>
        <w:spacing w:before="360" w:after="200"/>
        <w:rPr>
          <w:rFonts w:ascii="Arial" w:eastAsia="Arial" w:hAnsi="Arial" w:cs="Arial"/>
          <w:b/>
          <w:bCs/>
          <w:color w:val="1A1A1A"/>
        </w:rPr>
      </w:pPr>
    </w:p>
    <w:p w14:paraId="5C03D6C7" w14:textId="37BBAA46" w:rsidR="00FD4E7B" w:rsidRDefault="00000000">
      <w:pPr>
        <w:pStyle w:val="Heading2"/>
        <w:spacing w:before="360" w:after="200"/>
      </w:pPr>
      <w:r>
        <w:rPr>
          <w:rFonts w:ascii="Arial" w:eastAsia="Arial" w:hAnsi="Arial" w:cs="Arial"/>
          <w:b/>
          <w:bCs/>
          <w:color w:val="1A1A1A"/>
        </w:rPr>
        <w:lastRenderedPageBreak/>
        <w:t>1.2 Company Overview</w:t>
      </w:r>
    </w:p>
    <w:p w14:paraId="1A538855" w14:textId="02A6EEF5" w:rsidR="00FD4E7B" w:rsidRDefault="00000000">
      <w:pPr>
        <w:spacing w:after="200" w:line="480" w:lineRule="auto"/>
        <w:jc w:val="both"/>
      </w:pPr>
      <w:r>
        <w:rPr>
          <w:rFonts w:ascii="Arial" w:eastAsia="Arial" w:hAnsi="Arial" w:cs="Arial"/>
          <w:sz w:val="22"/>
          <w:szCs w:val="22"/>
        </w:rPr>
        <w:t>iHub Solutions Pte Ltd is a Singapore-headquartered 3PL and warehousing provider, founded in 2000 by Managing Director Koh San Joo</w:t>
      </w:r>
      <w:r w:rsidR="00C96FFB">
        <w:rPr>
          <w:rFonts w:ascii="Arial" w:eastAsia="Arial" w:hAnsi="Arial" w:cs="Arial"/>
          <w:sz w:val="22"/>
          <w:szCs w:val="22"/>
        </w:rPr>
        <w:t xml:space="preserve">. </w:t>
      </w:r>
      <w:r>
        <w:rPr>
          <w:rFonts w:ascii="Arial" w:eastAsia="Arial" w:hAnsi="Arial" w:cs="Arial"/>
          <w:sz w:val="22"/>
          <w:szCs w:val="22"/>
        </w:rPr>
        <w:t>It holds the "Singapore Quality Class with Innovation Niche" certification from Enterprise Singapore, and operates warehouses in Singapore, Malaysia, Hong Kong, and Thailand, offering smart warehousing, contract logistics, last-mile delivery, and e-commerce fulfilment to clients in fashion, healthcare, and e-commerce</w:t>
      </w:r>
      <w:r w:rsidR="00C96FFB">
        <w:rPr>
          <w:rFonts w:ascii="Arial" w:eastAsia="Arial" w:hAnsi="Arial" w:cs="Arial"/>
          <w:sz w:val="22"/>
          <w:szCs w:val="22"/>
        </w:rPr>
        <w:t xml:space="preserve">. </w:t>
      </w:r>
      <w:r>
        <w:rPr>
          <w:rFonts w:ascii="Arial" w:eastAsia="Arial" w:hAnsi="Arial" w:cs="Arial"/>
          <w:sz w:val="22"/>
          <w:szCs w:val="22"/>
        </w:rPr>
        <w:t>The company employs an estimated 51–200 staff and is registered in Singapore</w:t>
      </w:r>
      <w:r w:rsidR="00C96FFB">
        <w:rPr>
          <w:rFonts w:ascii="Arial" w:eastAsia="Arial" w:hAnsi="Arial" w:cs="Arial"/>
          <w:sz w:val="22"/>
          <w:szCs w:val="22"/>
        </w:rPr>
        <w:t>.</w:t>
      </w:r>
    </w:p>
    <w:p w14:paraId="11A1D7E9" w14:textId="69C26FF1" w:rsidR="00FD4E7B" w:rsidRDefault="00000000">
      <w:pPr>
        <w:spacing w:after="200" w:line="480" w:lineRule="auto"/>
        <w:jc w:val="both"/>
      </w:pPr>
      <w:r>
        <w:rPr>
          <w:rFonts w:ascii="Arial" w:eastAsia="Arial" w:hAnsi="Arial" w:cs="Arial"/>
          <w:sz w:val="22"/>
          <w:szCs w:val="22"/>
        </w:rPr>
        <w:t xml:space="preserve">Digital transformation is central to how iHub presents itself: a proprietary Virtual Logistics System and Cloud Transport System for real-time event tracking, plus active exploration of AI and machine learning for route optimisation and other logistics applications (iHub Solutions, n.d.-c). This capstone fits that direction well </w:t>
      </w:r>
      <w:r w:rsidR="003E0A92">
        <w:rPr>
          <w:rFonts w:ascii="Arial" w:eastAsia="Arial" w:hAnsi="Arial" w:cs="Arial"/>
          <w:sz w:val="22"/>
          <w:szCs w:val="22"/>
        </w:rPr>
        <w:t>-</w:t>
      </w:r>
      <w:r>
        <w:rPr>
          <w:rFonts w:ascii="Arial" w:eastAsia="Arial" w:hAnsi="Arial" w:cs="Arial"/>
          <w:sz w:val="22"/>
          <w:szCs w:val="22"/>
        </w:rPr>
        <w:t xml:space="preserve"> recommending which carton to use and where items go inside it is one concrete piece of the "smarter logistics" positioning iHub already promotes to customers.</w:t>
      </w:r>
    </w:p>
    <w:p w14:paraId="08E4AD83" w14:textId="77777777" w:rsidR="00FD4E7B" w:rsidRDefault="00000000">
      <w:pPr>
        <w:spacing w:after="200" w:line="480" w:lineRule="auto"/>
        <w:jc w:val="both"/>
      </w:pPr>
      <w:r>
        <w:rPr>
          <w:rFonts w:ascii="Arial" w:eastAsia="Arial" w:hAnsi="Arial" w:cs="Arial"/>
          <w:sz w:val="22"/>
          <w:szCs w:val="22"/>
        </w:rPr>
        <w:t>The relevance to iHub isn't incidental. Its reliance on proprietary third-party packing APIs, and what a self-hosted alternative could be worth, are covered in Section 5.</w:t>
      </w:r>
    </w:p>
    <w:p w14:paraId="47E11FFB" w14:textId="77777777" w:rsidR="00FD4E7B" w:rsidRDefault="00000000">
      <w:pPr>
        <w:pStyle w:val="Heading1"/>
        <w:spacing w:before="360" w:after="200"/>
      </w:pPr>
      <w:r>
        <w:rPr>
          <w:rFonts w:ascii="Arial" w:eastAsia="Arial" w:hAnsi="Arial" w:cs="Arial"/>
          <w:b/>
          <w:bCs/>
          <w:color w:val="1A1A1A"/>
          <w:sz w:val="30"/>
          <w:szCs w:val="30"/>
        </w:rPr>
        <w:t>2. Project Formulation</w:t>
      </w:r>
    </w:p>
    <w:p w14:paraId="2294AC2A" w14:textId="0CA034E2" w:rsidR="00FD4E7B" w:rsidRDefault="00000000">
      <w:pPr>
        <w:spacing w:after="200" w:line="480" w:lineRule="auto"/>
        <w:jc w:val="both"/>
      </w:pPr>
      <w:r>
        <w:rPr>
          <w:rFonts w:ascii="Arial" w:eastAsia="Arial" w:hAnsi="Arial" w:cs="Arial"/>
          <w:sz w:val="22"/>
          <w:szCs w:val="22"/>
        </w:rPr>
        <w:t xml:space="preserve">iHub Solutions supplied 2,000 masked historical order request-and-response pairs. Each record describes a set of items </w:t>
      </w:r>
      <w:r w:rsidR="003E0A92">
        <w:rPr>
          <w:rFonts w:ascii="Arial" w:eastAsia="Arial" w:hAnsi="Arial" w:cs="Arial"/>
          <w:sz w:val="22"/>
          <w:szCs w:val="22"/>
        </w:rPr>
        <w:t>-</w:t>
      </w:r>
      <w:r>
        <w:rPr>
          <w:rFonts w:ascii="Arial" w:eastAsia="Arial" w:hAnsi="Arial" w:cs="Arial"/>
          <w:sz w:val="22"/>
          <w:szCs w:val="22"/>
        </w:rPr>
        <w:t xml:space="preserve"> dimensions, weight, quantity, upright-only or not </w:t>
      </w:r>
      <w:r w:rsidR="003E0A92">
        <w:rPr>
          <w:rFonts w:ascii="Arial" w:eastAsia="Arial" w:hAnsi="Arial" w:cs="Arial"/>
          <w:sz w:val="22"/>
          <w:szCs w:val="22"/>
        </w:rPr>
        <w:t>-</w:t>
      </w:r>
      <w:r>
        <w:rPr>
          <w:rFonts w:ascii="Arial" w:eastAsia="Arial" w:hAnsi="Arial" w:cs="Arial"/>
          <w:sz w:val="22"/>
          <w:szCs w:val="22"/>
        </w:rPr>
        <w:t xml:space="preserve"> plus the carton(s) historically selected to pack them. The dataset uses a fixed catalogue, Box2 through Box9, with packing governed by a few configurable rules: a per-axis dimensional buffer (0/0/6 mm as supplied), a maximum carton weight of 20 kg, and a 70% fill-percentage cap that only applies once an order exceeds 6 items.</w:t>
      </w:r>
    </w:p>
    <w:p w14:paraId="3C9D81C7" w14:textId="6391FFFA" w:rsidR="00FD4E7B" w:rsidRDefault="00000000">
      <w:pPr>
        <w:spacing w:after="200" w:line="480" w:lineRule="auto"/>
        <w:jc w:val="both"/>
      </w:pPr>
      <w:r>
        <w:rPr>
          <w:rFonts w:ascii="Arial" w:eastAsia="Arial" w:hAnsi="Arial" w:cs="Arial"/>
          <w:sz w:val="22"/>
          <w:szCs w:val="22"/>
        </w:rPr>
        <w:t xml:space="preserve">The core problem is a variant of three-dimensional bin packing (3D-BPP): assign every item to a bin and a non-overlapping position within it, using the fewest bins possible, respecting weight and </w:t>
      </w:r>
      <w:r>
        <w:rPr>
          <w:rFonts w:ascii="Arial" w:eastAsia="Arial" w:hAnsi="Arial" w:cs="Arial"/>
          <w:sz w:val="22"/>
          <w:szCs w:val="22"/>
        </w:rPr>
        <w:lastRenderedPageBreak/>
        <w:t xml:space="preserve">orientation constraints. 3D-BPP is strongly NP-hard (Martello et al., 2000), which rules out an exact solution at the scale and latency the business needs </w:t>
      </w:r>
      <w:r w:rsidR="003E0A92">
        <w:rPr>
          <w:rFonts w:ascii="Arial" w:eastAsia="Arial" w:hAnsi="Arial" w:cs="Arial"/>
          <w:sz w:val="22"/>
          <w:szCs w:val="22"/>
        </w:rPr>
        <w:t>-</w:t>
      </w:r>
      <w:r>
        <w:rPr>
          <w:rFonts w:ascii="Arial" w:eastAsia="Arial" w:hAnsi="Arial" w:cs="Arial"/>
          <w:sz w:val="22"/>
          <w:szCs w:val="22"/>
        </w:rPr>
        <w:t xml:space="preserve"> so the project uses a heuristic search instead.</w:t>
      </w:r>
    </w:p>
    <w:p w14:paraId="018883D1" w14:textId="77777777" w:rsidR="00FD4E7B" w:rsidRDefault="00000000">
      <w:pPr>
        <w:spacing w:after="200" w:line="480" w:lineRule="auto"/>
        <w:jc w:val="both"/>
      </w:pPr>
      <w:r>
        <w:rPr>
          <w:rFonts w:ascii="Arial" w:eastAsia="Arial" w:hAnsi="Arial" w:cs="Arial"/>
          <w:sz w:val="22"/>
          <w:szCs w:val="22"/>
        </w:rPr>
        <w:t>Three requirements were agreed before implementation began:</w:t>
      </w:r>
    </w:p>
    <w:p w14:paraId="6D359834" w14:textId="2C59AA42" w:rsidR="00FD4E7B" w:rsidRDefault="00000000">
      <w:pPr>
        <w:pStyle w:val="ListParagraph"/>
        <w:numPr>
          <w:ilvl w:val="0"/>
          <w:numId w:val="2"/>
        </w:numPr>
        <w:spacing w:after="100" w:line="480" w:lineRule="auto"/>
      </w:pPr>
      <w:r>
        <w:rPr>
          <w:rFonts w:ascii="Arial" w:eastAsia="Arial" w:hAnsi="Arial" w:cs="Arial"/>
          <w:b/>
          <w:bCs/>
          <w:sz w:val="22"/>
          <w:szCs w:val="22"/>
        </w:rPr>
        <w:t xml:space="preserve">Correctness over resemblance to history </w:t>
      </w:r>
      <w:r w:rsidR="003E0A92">
        <w:rPr>
          <w:rFonts w:ascii="Arial" w:eastAsia="Arial" w:hAnsi="Arial" w:cs="Arial"/>
          <w:b/>
          <w:bCs/>
          <w:sz w:val="22"/>
          <w:szCs w:val="22"/>
        </w:rPr>
        <w:t>-</w:t>
      </w:r>
      <w:r>
        <w:rPr>
          <w:rFonts w:ascii="Arial" w:eastAsia="Arial" w:hAnsi="Arial" w:cs="Arial"/>
          <w:b/>
          <w:bCs/>
          <w:sz w:val="22"/>
          <w:szCs w:val="22"/>
        </w:rPr>
        <w:t xml:space="preserve"> </w:t>
      </w:r>
      <w:r>
        <w:rPr>
          <w:rFonts w:ascii="Arial" w:eastAsia="Arial" w:hAnsi="Arial" w:cs="Arial"/>
          <w:sz w:val="22"/>
          <w:szCs w:val="22"/>
        </w:rPr>
        <w:t>a packing is accepted if it is geometrically feasible (no overlap, in-bounds, correct orientation, within weight and fill limits), independent of whether it matches iHub's historical choice for that order.</w:t>
      </w:r>
    </w:p>
    <w:p w14:paraId="3C1CF455" w14:textId="2A6E68BE" w:rsidR="00FD4E7B" w:rsidRDefault="00000000">
      <w:pPr>
        <w:pStyle w:val="ListParagraph"/>
        <w:numPr>
          <w:ilvl w:val="0"/>
          <w:numId w:val="2"/>
        </w:numPr>
        <w:spacing w:after="100" w:line="480" w:lineRule="auto"/>
      </w:pPr>
      <w:r>
        <w:rPr>
          <w:rFonts w:ascii="Arial" w:eastAsia="Arial" w:hAnsi="Arial" w:cs="Arial"/>
          <w:b/>
          <w:bCs/>
          <w:sz w:val="22"/>
          <w:szCs w:val="22"/>
        </w:rPr>
        <w:t xml:space="preserve">Explainability </w:t>
      </w:r>
      <w:r w:rsidR="003E0A92">
        <w:rPr>
          <w:rFonts w:ascii="Arial" w:eastAsia="Arial" w:hAnsi="Arial" w:cs="Arial"/>
          <w:b/>
          <w:bCs/>
          <w:sz w:val="22"/>
          <w:szCs w:val="22"/>
        </w:rPr>
        <w:t>-</w:t>
      </w:r>
      <w:r>
        <w:rPr>
          <w:rFonts w:ascii="Arial" w:eastAsia="Arial" w:hAnsi="Arial" w:cs="Arial"/>
          <w:b/>
          <w:bCs/>
          <w:sz w:val="22"/>
          <w:szCs w:val="22"/>
        </w:rPr>
        <w:t xml:space="preserve"> </w:t>
      </w:r>
      <w:r>
        <w:rPr>
          <w:rFonts w:ascii="Arial" w:eastAsia="Arial" w:hAnsi="Arial" w:cs="Arial"/>
          <w:sz w:val="22"/>
          <w:szCs w:val="22"/>
        </w:rPr>
        <w:t>every recommendation must report which carton(s) were used, which items went where, in what orientation, the packed weight, the utilisation percentage, and the status (packed, partially packed, or failed), not just a final carton count.</w:t>
      </w:r>
    </w:p>
    <w:p w14:paraId="3DD64668" w14:textId="03144D28" w:rsidR="00FD4E7B" w:rsidRDefault="00000000">
      <w:pPr>
        <w:pStyle w:val="ListParagraph"/>
        <w:numPr>
          <w:ilvl w:val="0"/>
          <w:numId w:val="2"/>
        </w:numPr>
        <w:spacing w:after="100" w:line="480" w:lineRule="auto"/>
      </w:pPr>
      <w:r>
        <w:rPr>
          <w:rFonts w:ascii="Arial" w:eastAsia="Arial" w:hAnsi="Arial" w:cs="Arial"/>
          <w:b/>
          <w:bCs/>
          <w:sz w:val="22"/>
          <w:szCs w:val="22"/>
        </w:rPr>
        <w:t xml:space="preserve">Measurability </w:t>
      </w:r>
      <w:r w:rsidR="003E0A92">
        <w:rPr>
          <w:rFonts w:ascii="Arial" w:eastAsia="Arial" w:hAnsi="Arial" w:cs="Arial"/>
          <w:b/>
          <w:bCs/>
          <w:sz w:val="22"/>
          <w:szCs w:val="22"/>
        </w:rPr>
        <w:t>-</w:t>
      </w:r>
      <w:r>
        <w:rPr>
          <w:rFonts w:ascii="Arial" w:eastAsia="Arial" w:hAnsi="Arial" w:cs="Arial"/>
          <w:b/>
          <w:bCs/>
          <w:sz w:val="22"/>
          <w:szCs w:val="22"/>
        </w:rPr>
        <w:t xml:space="preserve"> </w:t>
      </w:r>
      <w:r>
        <w:rPr>
          <w:rFonts w:ascii="Arial" w:eastAsia="Arial" w:hAnsi="Arial" w:cs="Arial"/>
          <w:sz w:val="22"/>
          <w:szCs w:val="22"/>
        </w:rPr>
        <w:t>runtime must be tracked per order (median, 95th-percentile, and maximum) so that solver changes can be evaluated on both packing quality and latency, not quality alone.</w:t>
      </w:r>
    </w:p>
    <w:p w14:paraId="6057E257" w14:textId="77777777" w:rsidR="00FD4E7B" w:rsidRDefault="00000000">
      <w:pPr>
        <w:spacing w:after="200" w:line="480" w:lineRule="auto"/>
        <w:jc w:val="both"/>
      </w:pPr>
      <w:r>
        <w:rPr>
          <w:rFonts w:ascii="Arial" w:eastAsia="Arial" w:hAnsi="Arial" w:cs="Arial"/>
          <w:sz w:val="22"/>
          <w:szCs w:val="22"/>
        </w:rPr>
        <w:t>These requirements, together with the dataset's own fields, define the solver's public contract: it accepts order data, a box catalogue, and a configuration object, and returns an explainable packing result or a clear statement of which items could not be packed.</w:t>
      </w:r>
    </w:p>
    <w:p w14:paraId="2693064A" w14:textId="77777777" w:rsidR="00FD4E7B" w:rsidRDefault="00000000">
      <w:pPr>
        <w:pStyle w:val="Heading1"/>
        <w:spacing w:before="360" w:after="200"/>
      </w:pPr>
      <w:r>
        <w:rPr>
          <w:rFonts w:ascii="Arial" w:eastAsia="Arial" w:hAnsi="Arial" w:cs="Arial"/>
          <w:b/>
          <w:bCs/>
          <w:color w:val="1A1A1A"/>
          <w:sz w:val="30"/>
          <w:szCs w:val="30"/>
        </w:rPr>
        <w:t>3. Project Schedule</w:t>
      </w:r>
    </w:p>
    <w:p w14:paraId="716500D3" w14:textId="77777777" w:rsidR="00FD4E7B" w:rsidRDefault="00000000">
      <w:pPr>
        <w:spacing w:after="200" w:line="480" w:lineRule="auto"/>
        <w:jc w:val="both"/>
        <w:rPr>
          <w:rFonts w:ascii="Arial" w:eastAsia="Arial" w:hAnsi="Arial" w:cs="Arial"/>
          <w:sz w:val="22"/>
          <w:szCs w:val="22"/>
        </w:rPr>
      </w:pPr>
      <w:r>
        <w:rPr>
          <w:rFonts w:ascii="Arial" w:eastAsia="Arial" w:hAnsi="Arial" w:cs="Arial"/>
          <w:sz w:val="22"/>
          <w:szCs w:val="22"/>
        </w:rPr>
        <w:t>The project runs as a single unified workstream, with a shared input/output schema and definition of a valid pack agreed before implementation began. The 15-week schedule below starts Monday, 8 August 2026, with Week 8 as the mid-report milestone and Week 15 as the project close.</w:t>
      </w:r>
    </w:p>
    <w:p w14:paraId="2D7BF084" w14:textId="77777777" w:rsidR="003E0A92" w:rsidRDefault="003E0A92">
      <w:pPr>
        <w:spacing w:after="200" w:line="480" w:lineRule="auto"/>
        <w:jc w:val="both"/>
      </w:pPr>
    </w:p>
    <w:p w14:paraId="1459EB32" w14:textId="77777777" w:rsidR="003E0A92" w:rsidRDefault="003E0A92">
      <w:pPr>
        <w:spacing w:after="200" w:line="480" w:lineRule="auto"/>
        <w:jc w:val="both"/>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50"/>
        <w:gridCol w:w="2500"/>
      </w:tblGrid>
      <w:tr w:rsidR="00FD4E7B" w14:paraId="08759066" w14:textId="77777777">
        <w:tblPrEx>
          <w:tblCellMar>
            <w:top w:w="0" w:type="dxa"/>
            <w:bottom w:w="0" w:type="dxa"/>
          </w:tblCellMar>
        </w:tblPrEx>
        <w:trPr>
          <w:tblHeader/>
        </w:trPr>
        <w:tc>
          <w:tcPr>
            <w:tcW w:w="900" w:type="dxa"/>
            <w:shd w:val="clear" w:color="auto" w:fill="2A4A6B"/>
            <w:tcMar>
              <w:top w:w="80" w:type="dxa"/>
              <w:left w:w="100" w:type="dxa"/>
              <w:bottom w:w="80" w:type="dxa"/>
              <w:right w:w="100" w:type="dxa"/>
            </w:tcMar>
            <w:vAlign w:val="center"/>
          </w:tcPr>
          <w:p w14:paraId="4ADD847B" w14:textId="77777777" w:rsidR="00FD4E7B" w:rsidRDefault="00000000">
            <w:r>
              <w:rPr>
                <w:rFonts w:ascii="Arial" w:eastAsia="Arial" w:hAnsi="Arial" w:cs="Arial"/>
                <w:b/>
                <w:bCs/>
              </w:rPr>
              <w:lastRenderedPageBreak/>
              <w:t>Week</w:t>
            </w:r>
          </w:p>
        </w:tc>
        <w:tc>
          <w:tcPr>
            <w:tcW w:w="5950" w:type="dxa"/>
            <w:shd w:val="clear" w:color="auto" w:fill="2A4A6B"/>
            <w:tcMar>
              <w:top w:w="80" w:type="dxa"/>
              <w:left w:w="100" w:type="dxa"/>
              <w:bottom w:w="80" w:type="dxa"/>
              <w:right w:w="100" w:type="dxa"/>
            </w:tcMar>
            <w:vAlign w:val="center"/>
          </w:tcPr>
          <w:p w14:paraId="2F3036D4" w14:textId="77777777" w:rsidR="00FD4E7B" w:rsidRDefault="00000000">
            <w:r>
              <w:rPr>
                <w:rFonts w:ascii="Arial" w:eastAsia="Arial" w:hAnsi="Arial" w:cs="Arial"/>
                <w:b/>
                <w:bCs/>
              </w:rPr>
              <w:t>Task</w:t>
            </w:r>
          </w:p>
        </w:tc>
        <w:tc>
          <w:tcPr>
            <w:tcW w:w="2500" w:type="dxa"/>
            <w:shd w:val="clear" w:color="auto" w:fill="2A4A6B"/>
            <w:tcMar>
              <w:top w:w="80" w:type="dxa"/>
              <w:left w:w="100" w:type="dxa"/>
              <w:bottom w:w="80" w:type="dxa"/>
              <w:right w:w="100" w:type="dxa"/>
            </w:tcMar>
            <w:vAlign w:val="center"/>
          </w:tcPr>
          <w:p w14:paraId="67B43C2E" w14:textId="77777777" w:rsidR="00FD4E7B" w:rsidRDefault="00000000">
            <w:r>
              <w:rPr>
                <w:rFonts w:ascii="Arial" w:eastAsia="Arial" w:hAnsi="Arial" w:cs="Arial"/>
                <w:b/>
                <w:bCs/>
              </w:rPr>
              <w:t>Status</w:t>
            </w:r>
          </w:p>
        </w:tc>
      </w:tr>
      <w:tr w:rsidR="00FD4E7B" w14:paraId="282AC5BF" w14:textId="77777777">
        <w:tblPrEx>
          <w:tblCellMar>
            <w:top w:w="0" w:type="dxa"/>
            <w:bottom w:w="0" w:type="dxa"/>
          </w:tblCellMar>
        </w:tblPrEx>
        <w:tc>
          <w:tcPr>
            <w:tcW w:w="900" w:type="dxa"/>
            <w:tcMar>
              <w:top w:w="80" w:type="dxa"/>
              <w:left w:w="100" w:type="dxa"/>
              <w:bottom w:w="80" w:type="dxa"/>
              <w:right w:w="100" w:type="dxa"/>
            </w:tcMar>
            <w:vAlign w:val="center"/>
          </w:tcPr>
          <w:p w14:paraId="21314ACF" w14:textId="77777777" w:rsidR="00FD4E7B" w:rsidRDefault="00000000">
            <w:r>
              <w:rPr>
                <w:rFonts w:ascii="Arial" w:eastAsia="Arial" w:hAnsi="Arial" w:cs="Arial"/>
              </w:rPr>
              <w:t>1</w:t>
            </w:r>
          </w:p>
        </w:tc>
        <w:tc>
          <w:tcPr>
            <w:tcW w:w="5950" w:type="dxa"/>
            <w:tcMar>
              <w:top w:w="80" w:type="dxa"/>
              <w:left w:w="100" w:type="dxa"/>
              <w:bottom w:w="80" w:type="dxa"/>
              <w:right w:w="100" w:type="dxa"/>
            </w:tcMar>
            <w:vAlign w:val="center"/>
          </w:tcPr>
          <w:p w14:paraId="7B0FB20D" w14:textId="77777777" w:rsidR="00FD4E7B" w:rsidRDefault="00000000">
            <w:r>
              <w:rPr>
                <w:rFonts w:ascii="Arial" w:eastAsia="Arial" w:hAnsi="Arial" w:cs="Arial"/>
              </w:rPr>
              <w:t>Requirements and rules</w:t>
            </w:r>
          </w:p>
        </w:tc>
        <w:tc>
          <w:tcPr>
            <w:tcW w:w="2500" w:type="dxa"/>
            <w:tcMar>
              <w:top w:w="80" w:type="dxa"/>
              <w:left w:w="100" w:type="dxa"/>
              <w:bottom w:w="80" w:type="dxa"/>
              <w:right w:w="100" w:type="dxa"/>
            </w:tcMar>
            <w:vAlign w:val="center"/>
          </w:tcPr>
          <w:p w14:paraId="242E882C" w14:textId="77777777" w:rsidR="00FD4E7B" w:rsidRDefault="00000000">
            <w:r>
              <w:rPr>
                <w:rFonts w:ascii="Arial" w:eastAsia="Arial" w:hAnsi="Arial" w:cs="Arial"/>
              </w:rPr>
              <w:t>Completed</w:t>
            </w:r>
          </w:p>
        </w:tc>
      </w:tr>
      <w:tr w:rsidR="00FD4E7B" w14:paraId="24729212" w14:textId="77777777">
        <w:tblPrEx>
          <w:tblCellMar>
            <w:top w:w="0" w:type="dxa"/>
            <w:bottom w:w="0" w:type="dxa"/>
          </w:tblCellMar>
        </w:tblPrEx>
        <w:tc>
          <w:tcPr>
            <w:tcW w:w="900" w:type="dxa"/>
            <w:tcMar>
              <w:top w:w="80" w:type="dxa"/>
              <w:left w:w="100" w:type="dxa"/>
              <w:bottom w:w="80" w:type="dxa"/>
              <w:right w:w="100" w:type="dxa"/>
            </w:tcMar>
            <w:vAlign w:val="center"/>
          </w:tcPr>
          <w:p w14:paraId="0BF0E7FD" w14:textId="77777777" w:rsidR="00FD4E7B" w:rsidRDefault="00000000">
            <w:r>
              <w:rPr>
                <w:rFonts w:ascii="Arial" w:eastAsia="Arial" w:hAnsi="Arial" w:cs="Arial"/>
              </w:rPr>
              <w:t>1–2</w:t>
            </w:r>
          </w:p>
        </w:tc>
        <w:tc>
          <w:tcPr>
            <w:tcW w:w="5950" w:type="dxa"/>
            <w:tcMar>
              <w:top w:w="80" w:type="dxa"/>
              <w:left w:w="100" w:type="dxa"/>
              <w:bottom w:w="80" w:type="dxa"/>
              <w:right w:w="100" w:type="dxa"/>
            </w:tcMar>
            <w:vAlign w:val="center"/>
          </w:tcPr>
          <w:p w14:paraId="34007FD8" w14:textId="77777777" w:rsidR="00FD4E7B" w:rsidRDefault="00000000">
            <w:r>
              <w:rPr>
                <w:rFonts w:ascii="Arial" w:eastAsia="Arial" w:hAnsi="Arial" w:cs="Arial"/>
              </w:rPr>
              <w:t>Data understanding and EDA</w:t>
            </w:r>
          </w:p>
        </w:tc>
        <w:tc>
          <w:tcPr>
            <w:tcW w:w="2500" w:type="dxa"/>
            <w:tcMar>
              <w:top w:w="80" w:type="dxa"/>
              <w:left w:w="100" w:type="dxa"/>
              <w:bottom w:w="80" w:type="dxa"/>
              <w:right w:w="100" w:type="dxa"/>
            </w:tcMar>
            <w:vAlign w:val="center"/>
          </w:tcPr>
          <w:p w14:paraId="12355E62" w14:textId="77777777" w:rsidR="00FD4E7B" w:rsidRDefault="00000000">
            <w:r>
              <w:rPr>
                <w:rFonts w:ascii="Arial" w:eastAsia="Arial" w:hAnsi="Arial" w:cs="Arial"/>
              </w:rPr>
              <w:t>Completed</w:t>
            </w:r>
          </w:p>
        </w:tc>
      </w:tr>
      <w:tr w:rsidR="00FD4E7B" w14:paraId="1EE2384F" w14:textId="77777777">
        <w:tblPrEx>
          <w:tblCellMar>
            <w:top w:w="0" w:type="dxa"/>
            <w:bottom w:w="0" w:type="dxa"/>
          </w:tblCellMar>
        </w:tblPrEx>
        <w:tc>
          <w:tcPr>
            <w:tcW w:w="900" w:type="dxa"/>
            <w:tcMar>
              <w:top w:w="80" w:type="dxa"/>
              <w:left w:w="100" w:type="dxa"/>
              <w:bottom w:w="80" w:type="dxa"/>
              <w:right w:w="100" w:type="dxa"/>
            </w:tcMar>
            <w:vAlign w:val="center"/>
          </w:tcPr>
          <w:p w14:paraId="5A5A866B" w14:textId="77777777" w:rsidR="00FD4E7B" w:rsidRDefault="00000000">
            <w:r>
              <w:rPr>
                <w:rFonts w:ascii="Arial" w:eastAsia="Arial" w:hAnsi="Arial" w:cs="Arial"/>
              </w:rPr>
              <w:t>2</w:t>
            </w:r>
          </w:p>
        </w:tc>
        <w:tc>
          <w:tcPr>
            <w:tcW w:w="5950" w:type="dxa"/>
            <w:tcMar>
              <w:top w:w="80" w:type="dxa"/>
              <w:left w:w="100" w:type="dxa"/>
              <w:bottom w:w="80" w:type="dxa"/>
              <w:right w:w="100" w:type="dxa"/>
            </w:tcMar>
            <w:vAlign w:val="center"/>
          </w:tcPr>
          <w:p w14:paraId="5DE39474" w14:textId="77777777" w:rsidR="00FD4E7B" w:rsidRDefault="00000000">
            <w:r>
              <w:rPr>
                <w:rFonts w:ascii="Arial" w:eastAsia="Arial" w:hAnsi="Arial" w:cs="Arial"/>
              </w:rPr>
              <w:t>Reference benchmark and metrics</w:t>
            </w:r>
          </w:p>
        </w:tc>
        <w:tc>
          <w:tcPr>
            <w:tcW w:w="2500" w:type="dxa"/>
            <w:tcMar>
              <w:top w:w="80" w:type="dxa"/>
              <w:left w:w="100" w:type="dxa"/>
              <w:bottom w:w="80" w:type="dxa"/>
              <w:right w:w="100" w:type="dxa"/>
            </w:tcMar>
            <w:vAlign w:val="center"/>
          </w:tcPr>
          <w:p w14:paraId="7EC32152" w14:textId="77777777" w:rsidR="00FD4E7B" w:rsidRDefault="00000000">
            <w:r>
              <w:rPr>
                <w:rFonts w:ascii="Arial" w:eastAsia="Arial" w:hAnsi="Arial" w:cs="Arial"/>
              </w:rPr>
              <w:t>Completed</w:t>
            </w:r>
          </w:p>
        </w:tc>
      </w:tr>
      <w:tr w:rsidR="00FD4E7B" w14:paraId="0087E1F3" w14:textId="77777777">
        <w:tblPrEx>
          <w:tblCellMar>
            <w:top w:w="0" w:type="dxa"/>
            <w:bottom w:w="0" w:type="dxa"/>
          </w:tblCellMar>
        </w:tblPrEx>
        <w:tc>
          <w:tcPr>
            <w:tcW w:w="900" w:type="dxa"/>
            <w:tcMar>
              <w:top w:w="80" w:type="dxa"/>
              <w:left w:w="100" w:type="dxa"/>
              <w:bottom w:w="80" w:type="dxa"/>
              <w:right w:w="100" w:type="dxa"/>
            </w:tcMar>
            <w:vAlign w:val="center"/>
          </w:tcPr>
          <w:p w14:paraId="6796E95E" w14:textId="77777777" w:rsidR="00FD4E7B" w:rsidRDefault="00000000">
            <w:r>
              <w:rPr>
                <w:rFonts w:ascii="Arial" w:eastAsia="Arial" w:hAnsi="Arial" w:cs="Arial"/>
              </w:rPr>
              <w:t>2–3</w:t>
            </w:r>
          </w:p>
        </w:tc>
        <w:tc>
          <w:tcPr>
            <w:tcW w:w="5950" w:type="dxa"/>
            <w:tcMar>
              <w:top w:w="80" w:type="dxa"/>
              <w:left w:w="100" w:type="dxa"/>
              <w:bottom w:w="80" w:type="dxa"/>
              <w:right w:w="100" w:type="dxa"/>
            </w:tcMar>
            <w:vAlign w:val="center"/>
          </w:tcPr>
          <w:p w14:paraId="23839D9B" w14:textId="77777777" w:rsidR="00FD4E7B" w:rsidRDefault="00000000">
            <w:r>
              <w:rPr>
                <w:rFonts w:ascii="Arial" w:eastAsia="Arial" w:hAnsi="Arial" w:cs="Arial"/>
              </w:rPr>
              <w:t>Volumetric planner as baseline</w:t>
            </w:r>
          </w:p>
        </w:tc>
        <w:tc>
          <w:tcPr>
            <w:tcW w:w="2500" w:type="dxa"/>
            <w:tcMar>
              <w:top w:w="80" w:type="dxa"/>
              <w:left w:w="100" w:type="dxa"/>
              <w:bottom w:w="80" w:type="dxa"/>
              <w:right w:w="100" w:type="dxa"/>
            </w:tcMar>
            <w:vAlign w:val="center"/>
          </w:tcPr>
          <w:p w14:paraId="0B4210B7" w14:textId="77777777" w:rsidR="00FD4E7B" w:rsidRDefault="00000000">
            <w:r>
              <w:rPr>
                <w:rFonts w:ascii="Arial" w:eastAsia="Arial" w:hAnsi="Arial" w:cs="Arial"/>
              </w:rPr>
              <w:t>Completed</w:t>
            </w:r>
          </w:p>
        </w:tc>
      </w:tr>
      <w:tr w:rsidR="00FD4E7B" w14:paraId="5C3822CC" w14:textId="77777777">
        <w:tblPrEx>
          <w:tblCellMar>
            <w:top w:w="0" w:type="dxa"/>
            <w:bottom w:w="0" w:type="dxa"/>
          </w:tblCellMar>
        </w:tblPrEx>
        <w:tc>
          <w:tcPr>
            <w:tcW w:w="900" w:type="dxa"/>
            <w:tcMar>
              <w:top w:w="80" w:type="dxa"/>
              <w:left w:w="100" w:type="dxa"/>
              <w:bottom w:w="80" w:type="dxa"/>
              <w:right w:w="100" w:type="dxa"/>
            </w:tcMar>
            <w:vAlign w:val="center"/>
          </w:tcPr>
          <w:p w14:paraId="77F3D3DB" w14:textId="77777777" w:rsidR="00FD4E7B" w:rsidRDefault="00000000">
            <w:r>
              <w:rPr>
                <w:rFonts w:ascii="Arial" w:eastAsia="Arial" w:hAnsi="Arial" w:cs="Arial"/>
              </w:rPr>
              <w:t>3–4</w:t>
            </w:r>
          </w:p>
        </w:tc>
        <w:tc>
          <w:tcPr>
            <w:tcW w:w="5950" w:type="dxa"/>
            <w:tcMar>
              <w:top w:w="80" w:type="dxa"/>
              <w:left w:w="100" w:type="dxa"/>
              <w:bottom w:w="80" w:type="dxa"/>
              <w:right w:w="100" w:type="dxa"/>
            </w:tcMar>
            <w:vAlign w:val="center"/>
          </w:tcPr>
          <w:p w14:paraId="60137BAF" w14:textId="77777777" w:rsidR="00FD4E7B" w:rsidRDefault="00000000">
            <w:r>
              <w:rPr>
                <w:rFonts w:ascii="Arial" w:eastAsia="Arial" w:hAnsi="Arial" w:cs="Arial"/>
              </w:rPr>
              <w:t>Fit-strategy experiment (First Fit vs. Best Fit), decision recorded</w:t>
            </w:r>
          </w:p>
        </w:tc>
        <w:tc>
          <w:tcPr>
            <w:tcW w:w="2500" w:type="dxa"/>
            <w:tcMar>
              <w:top w:w="80" w:type="dxa"/>
              <w:left w:w="100" w:type="dxa"/>
              <w:bottom w:w="80" w:type="dxa"/>
              <w:right w:w="100" w:type="dxa"/>
            </w:tcMar>
            <w:vAlign w:val="center"/>
          </w:tcPr>
          <w:p w14:paraId="667CC901" w14:textId="77777777" w:rsidR="00FD4E7B" w:rsidRDefault="00000000">
            <w:r>
              <w:rPr>
                <w:rFonts w:ascii="Arial" w:eastAsia="Arial" w:hAnsi="Arial" w:cs="Arial"/>
              </w:rPr>
              <w:t>Completed</w:t>
            </w:r>
          </w:p>
        </w:tc>
      </w:tr>
      <w:tr w:rsidR="00FD4E7B" w14:paraId="4ED4C8E7" w14:textId="77777777">
        <w:tblPrEx>
          <w:tblCellMar>
            <w:top w:w="0" w:type="dxa"/>
            <w:bottom w:w="0" w:type="dxa"/>
          </w:tblCellMar>
        </w:tblPrEx>
        <w:tc>
          <w:tcPr>
            <w:tcW w:w="900" w:type="dxa"/>
            <w:tcMar>
              <w:top w:w="80" w:type="dxa"/>
              <w:left w:w="100" w:type="dxa"/>
              <w:bottom w:w="80" w:type="dxa"/>
              <w:right w:w="100" w:type="dxa"/>
            </w:tcMar>
            <w:vAlign w:val="center"/>
          </w:tcPr>
          <w:p w14:paraId="709BDA7A" w14:textId="77777777" w:rsidR="00FD4E7B" w:rsidRDefault="00000000">
            <w:r>
              <w:rPr>
                <w:rFonts w:ascii="Arial" w:eastAsia="Arial" w:hAnsi="Arial" w:cs="Arial"/>
              </w:rPr>
              <w:t>4–5</w:t>
            </w:r>
          </w:p>
        </w:tc>
        <w:tc>
          <w:tcPr>
            <w:tcW w:w="5950" w:type="dxa"/>
            <w:tcMar>
              <w:top w:w="80" w:type="dxa"/>
              <w:left w:w="100" w:type="dxa"/>
              <w:bottom w:w="80" w:type="dxa"/>
              <w:right w:w="100" w:type="dxa"/>
            </w:tcMar>
            <w:vAlign w:val="center"/>
          </w:tcPr>
          <w:p w14:paraId="26196984" w14:textId="77777777" w:rsidR="00FD4E7B" w:rsidRDefault="00000000">
            <w:r>
              <w:rPr>
                <w:rFonts w:ascii="Arial" w:eastAsia="Arial" w:hAnsi="Arial" w:cs="Arial"/>
              </w:rPr>
              <w:t>3D extreme-point engine</w:t>
            </w:r>
          </w:p>
        </w:tc>
        <w:tc>
          <w:tcPr>
            <w:tcW w:w="2500" w:type="dxa"/>
            <w:tcMar>
              <w:top w:w="80" w:type="dxa"/>
              <w:left w:w="100" w:type="dxa"/>
              <w:bottom w:w="80" w:type="dxa"/>
              <w:right w:w="100" w:type="dxa"/>
            </w:tcMar>
            <w:vAlign w:val="center"/>
          </w:tcPr>
          <w:p w14:paraId="37F1B5B6" w14:textId="77777777" w:rsidR="00FD4E7B" w:rsidRDefault="00000000">
            <w:r>
              <w:rPr>
                <w:rFonts w:ascii="Arial" w:eastAsia="Arial" w:hAnsi="Arial" w:cs="Arial"/>
              </w:rPr>
              <w:t>Completed</w:t>
            </w:r>
          </w:p>
        </w:tc>
      </w:tr>
      <w:tr w:rsidR="00FD4E7B" w14:paraId="64147C45" w14:textId="77777777">
        <w:tblPrEx>
          <w:tblCellMar>
            <w:top w:w="0" w:type="dxa"/>
            <w:bottom w:w="0" w:type="dxa"/>
          </w:tblCellMar>
        </w:tblPrEx>
        <w:tc>
          <w:tcPr>
            <w:tcW w:w="900" w:type="dxa"/>
            <w:tcMar>
              <w:top w:w="80" w:type="dxa"/>
              <w:left w:w="100" w:type="dxa"/>
              <w:bottom w:w="80" w:type="dxa"/>
              <w:right w:w="100" w:type="dxa"/>
            </w:tcMar>
            <w:vAlign w:val="center"/>
          </w:tcPr>
          <w:p w14:paraId="542C3230" w14:textId="77777777" w:rsidR="00FD4E7B" w:rsidRDefault="00000000">
            <w:r>
              <w:rPr>
                <w:rFonts w:ascii="Arial" w:eastAsia="Arial" w:hAnsi="Arial" w:cs="Arial"/>
              </w:rPr>
              <w:t>5</w:t>
            </w:r>
          </w:p>
        </w:tc>
        <w:tc>
          <w:tcPr>
            <w:tcW w:w="5950" w:type="dxa"/>
            <w:tcMar>
              <w:top w:w="80" w:type="dxa"/>
              <w:left w:w="100" w:type="dxa"/>
              <w:bottom w:w="80" w:type="dxa"/>
              <w:right w:w="100" w:type="dxa"/>
            </w:tcMar>
            <w:vAlign w:val="center"/>
          </w:tcPr>
          <w:p w14:paraId="3E8E4756" w14:textId="77777777" w:rsidR="00FD4E7B" w:rsidRDefault="00000000">
            <w:r>
              <w:rPr>
                <w:rFonts w:ascii="Arial" w:eastAsia="Arial" w:hAnsi="Arial" w:cs="Arial"/>
              </w:rPr>
              <w:t>Physical realism (support rule)</w:t>
            </w:r>
          </w:p>
        </w:tc>
        <w:tc>
          <w:tcPr>
            <w:tcW w:w="2500" w:type="dxa"/>
            <w:tcMar>
              <w:top w:w="80" w:type="dxa"/>
              <w:left w:w="100" w:type="dxa"/>
              <w:bottom w:w="80" w:type="dxa"/>
              <w:right w:w="100" w:type="dxa"/>
            </w:tcMar>
            <w:vAlign w:val="center"/>
          </w:tcPr>
          <w:p w14:paraId="7353774B" w14:textId="77777777" w:rsidR="00FD4E7B" w:rsidRDefault="00000000">
            <w:r>
              <w:rPr>
                <w:rFonts w:ascii="Arial" w:eastAsia="Arial" w:hAnsi="Arial" w:cs="Arial"/>
              </w:rPr>
              <w:t>Completed</w:t>
            </w:r>
          </w:p>
        </w:tc>
      </w:tr>
      <w:tr w:rsidR="00FD4E7B" w14:paraId="7A047D4F" w14:textId="77777777">
        <w:tblPrEx>
          <w:tblCellMar>
            <w:top w:w="0" w:type="dxa"/>
            <w:bottom w:w="0" w:type="dxa"/>
          </w:tblCellMar>
        </w:tblPrEx>
        <w:tc>
          <w:tcPr>
            <w:tcW w:w="900" w:type="dxa"/>
            <w:tcMar>
              <w:top w:w="80" w:type="dxa"/>
              <w:left w:w="100" w:type="dxa"/>
              <w:bottom w:w="80" w:type="dxa"/>
              <w:right w:w="100" w:type="dxa"/>
            </w:tcMar>
            <w:vAlign w:val="center"/>
          </w:tcPr>
          <w:p w14:paraId="00F03F02" w14:textId="77777777" w:rsidR="00FD4E7B" w:rsidRDefault="00000000">
            <w:r>
              <w:rPr>
                <w:rFonts w:ascii="Arial" w:eastAsia="Arial" w:hAnsi="Arial" w:cs="Arial"/>
              </w:rPr>
              <w:t>5–6</w:t>
            </w:r>
          </w:p>
        </w:tc>
        <w:tc>
          <w:tcPr>
            <w:tcW w:w="5950" w:type="dxa"/>
            <w:tcMar>
              <w:top w:w="80" w:type="dxa"/>
              <w:left w:w="100" w:type="dxa"/>
              <w:bottom w:w="80" w:type="dxa"/>
              <w:right w:w="100" w:type="dxa"/>
            </w:tcMar>
            <w:vAlign w:val="center"/>
          </w:tcPr>
          <w:p w14:paraId="1BADDE56" w14:textId="77777777" w:rsidR="00FD4E7B" w:rsidRDefault="00000000">
            <w:r>
              <w:rPr>
                <w:rFonts w:ascii="Arial" w:eastAsia="Arial" w:hAnsi="Arial" w:cs="Arial"/>
              </w:rPr>
              <w:t>Validation harness and regression tests</w:t>
            </w:r>
          </w:p>
        </w:tc>
        <w:tc>
          <w:tcPr>
            <w:tcW w:w="2500" w:type="dxa"/>
            <w:tcMar>
              <w:top w:w="80" w:type="dxa"/>
              <w:left w:w="100" w:type="dxa"/>
              <w:bottom w:w="80" w:type="dxa"/>
              <w:right w:w="100" w:type="dxa"/>
            </w:tcMar>
            <w:vAlign w:val="center"/>
          </w:tcPr>
          <w:p w14:paraId="78373BF7" w14:textId="77777777" w:rsidR="00FD4E7B" w:rsidRDefault="00000000">
            <w:r>
              <w:rPr>
                <w:rFonts w:ascii="Arial" w:eastAsia="Arial" w:hAnsi="Arial" w:cs="Arial"/>
              </w:rPr>
              <w:t>Completed</w:t>
            </w:r>
          </w:p>
        </w:tc>
      </w:tr>
      <w:tr w:rsidR="00FD4E7B" w14:paraId="0B85636C" w14:textId="77777777">
        <w:tblPrEx>
          <w:tblCellMar>
            <w:top w:w="0" w:type="dxa"/>
            <w:bottom w:w="0" w:type="dxa"/>
          </w:tblCellMar>
        </w:tblPrEx>
        <w:tc>
          <w:tcPr>
            <w:tcW w:w="900" w:type="dxa"/>
            <w:tcMar>
              <w:top w:w="80" w:type="dxa"/>
              <w:left w:w="100" w:type="dxa"/>
              <w:bottom w:w="80" w:type="dxa"/>
              <w:right w:w="100" w:type="dxa"/>
            </w:tcMar>
            <w:vAlign w:val="center"/>
          </w:tcPr>
          <w:p w14:paraId="19482AA0" w14:textId="77777777" w:rsidR="00FD4E7B" w:rsidRDefault="00000000">
            <w:r>
              <w:rPr>
                <w:rFonts w:ascii="Arial" w:eastAsia="Arial" w:hAnsi="Arial" w:cs="Arial"/>
              </w:rPr>
              <w:t>6</w:t>
            </w:r>
          </w:p>
        </w:tc>
        <w:tc>
          <w:tcPr>
            <w:tcW w:w="5950" w:type="dxa"/>
            <w:tcMar>
              <w:top w:w="80" w:type="dxa"/>
              <w:left w:w="100" w:type="dxa"/>
              <w:bottom w:w="80" w:type="dxa"/>
              <w:right w:w="100" w:type="dxa"/>
            </w:tcMar>
            <w:vAlign w:val="center"/>
          </w:tcPr>
          <w:p w14:paraId="0097F766" w14:textId="77777777" w:rsidR="00FD4E7B" w:rsidRDefault="00000000">
            <w:r>
              <w:rPr>
                <w:rFonts w:ascii="Arial" w:eastAsia="Arial" w:hAnsi="Arial" w:cs="Arial"/>
              </w:rPr>
              <w:t>Compare with the reference data</w:t>
            </w:r>
          </w:p>
        </w:tc>
        <w:tc>
          <w:tcPr>
            <w:tcW w:w="2500" w:type="dxa"/>
            <w:tcMar>
              <w:top w:w="80" w:type="dxa"/>
              <w:left w:w="100" w:type="dxa"/>
              <w:bottom w:w="80" w:type="dxa"/>
              <w:right w:w="100" w:type="dxa"/>
            </w:tcMar>
            <w:vAlign w:val="center"/>
          </w:tcPr>
          <w:p w14:paraId="60FAAB2A" w14:textId="77777777" w:rsidR="00FD4E7B" w:rsidRDefault="00000000">
            <w:r>
              <w:rPr>
                <w:rFonts w:ascii="Arial" w:eastAsia="Arial" w:hAnsi="Arial" w:cs="Arial"/>
              </w:rPr>
              <w:t>Completed</w:t>
            </w:r>
          </w:p>
        </w:tc>
      </w:tr>
      <w:tr w:rsidR="00FD4E7B" w14:paraId="59628D5F" w14:textId="77777777">
        <w:tblPrEx>
          <w:tblCellMar>
            <w:top w:w="0" w:type="dxa"/>
            <w:bottom w:w="0" w:type="dxa"/>
          </w:tblCellMar>
        </w:tblPrEx>
        <w:tc>
          <w:tcPr>
            <w:tcW w:w="900" w:type="dxa"/>
            <w:tcMar>
              <w:top w:w="80" w:type="dxa"/>
              <w:left w:w="100" w:type="dxa"/>
              <w:bottom w:w="80" w:type="dxa"/>
              <w:right w:w="100" w:type="dxa"/>
            </w:tcMar>
            <w:vAlign w:val="center"/>
          </w:tcPr>
          <w:p w14:paraId="1743DA2A" w14:textId="77777777" w:rsidR="00FD4E7B" w:rsidRDefault="00000000">
            <w:r>
              <w:rPr>
                <w:rFonts w:ascii="Arial" w:eastAsia="Arial" w:hAnsi="Arial" w:cs="Arial"/>
              </w:rPr>
              <w:t>6–7</w:t>
            </w:r>
          </w:p>
        </w:tc>
        <w:tc>
          <w:tcPr>
            <w:tcW w:w="5950" w:type="dxa"/>
            <w:tcMar>
              <w:top w:w="80" w:type="dxa"/>
              <w:left w:w="100" w:type="dxa"/>
              <w:bottom w:w="80" w:type="dxa"/>
              <w:right w:w="100" w:type="dxa"/>
            </w:tcMar>
            <w:vAlign w:val="center"/>
          </w:tcPr>
          <w:p w14:paraId="21152C04" w14:textId="77777777" w:rsidR="00FD4E7B" w:rsidRDefault="00000000">
            <w:r>
              <w:rPr>
                <w:rFonts w:ascii="Arial" w:eastAsia="Arial" w:hAnsi="Arial" w:cs="Arial"/>
              </w:rPr>
              <w:t>Tune parameters and logic, repeating the comparison</w:t>
            </w:r>
          </w:p>
        </w:tc>
        <w:tc>
          <w:tcPr>
            <w:tcW w:w="2500" w:type="dxa"/>
            <w:tcMar>
              <w:top w:w="80" w:type="dxa"/>
              <w:left w:w="100" w:type="dxa"/>
              <w:bottom w:w="80" w:type="dxa"/>
              <w:right w:w="100" w:type="dxa"/>
            </w:tcMar>
            <w:vAlign w:val="center"/>
          </w:tcPr>
          <w:p w14:paraId="4446561E" w14:textId="77777777" w:rsidR="00FD4E7B" w:rsidRDefault="00000000">
            <w:r>
              <w:rPr>
                <w:rFonts w:ascii="Arial" w:eastAsia="Arial" w:hAnsi="Arial" w:cs="Arial"/>
              </w:rPr>
              <w:t>Completed</w:t>
            </w:r>
          </w:p>
        </w:tc>
      </w:tr>
      <w:tr w:rsidR="00FD4E7B" w14:paraId="760E40DF" w14:textId="77777777">
        <w:tblPrEx>
          <w:tblCellMar>
            <w:top w:w="0" w:type="dxa"/>
            <w:bottom w:w="0" w:type="dxa"/>
          </w:tblCellMar>
        </w:tblPrEx>
        <w:tc>
          <w:tcPr>
            <w:tcW w:w="900" w:type="dxa"/>
            <w:tcMar>
              <w:top w:w="80" w:type="dxa"/>
              <w:left w:w="100" w:type="dxa"/>
              <w:bottom w:w="80" w:type="dxa"/>
              <w:right w:w="100" w:type="dxa"/>
            </w:tcMar>
            <w:vAlign w:val="center"/>
          </w:tcPr>
          <w:p w14:paraId="34D65280" w14:textId="77777777" w:rsidR="00FD4E7B" w:rsidRDefault="00000000">
            <w:r>
              <w:rPr>
                <w:rFonts w:ascii="Arial" w:eastAsia="Arial" w:hAnsi="Arial" w:cs="Arial"/>
              </w:rPr>
              <w:t>7</w:t>
            </w:r>
          </w:p>
        </w:tc>
        <w:tc>
          <w:tcPr>
            <w:tcW w:w="5950" w:type="dxa"/>
            <w:tcMar>
              <w:top w:w="80" w:type="dxa"/>
              <w:left w:w="100" w:type="dxa"/>
              <w:bottom w:w="80" w:type="dxa"/>
              <w:right w:w="100" w:type="dxa"/>
            </w:tcMar>
            <w:vAlign w:val="center"/>
          </w:tcPr>
          <w:p w14:paraId="1D27BBF0" w14:textId="77777777" w:rsidR="00FD4E7B" w:rsidRDefault="00000000">
            <w:r>
              <w:rPr>
                <w:rFonts w:ascii="Arial" w:eastAsia="Arial" w:hAnsi="Arial" w:cs="Arial"/>
              </w:rPr>
              <w:t>Report, repo and limitations write-up</w:t>
            </w:r>
          </w:p>
        </w:tc>
        <w:tc>
          <w:tcPr>
            <w:tcW w:w="2500" w:type="dxa"/>
            <w:tcMar>
              <w:top w:w="80" w:type="dxa"/>
              <w:left w:w="100" w:type="dxa"/>
              <w:bottom w:w="80" w:type="dxa"/>
              <w:right w:w="100" w:type="dxa"/>
            </w:tcMar>
            <w:vAlign w:val="center"/>
          </w:tcPr>
          <w:p w14:paraId="1861ABF3" w14:textId="77777777" w:rsidR="00FD4E7B" w:rsidRDefault="00000000">
            <w:r>
              <w:rPr>
                <w:rFonts w:ascii="Arial" w:eastAsia="Arial" w:hAnsi="Arial" w:cs="Arial"/>
              </w:rPr>
              <w:t>Completed</w:t>
            </w:r>
          </w:p>
        </w:tc>
      </w:tr>
      <w:tr w:rsidR="00FD4E7B" w14:paraId="27DA3E74" w14:textId="77777777">
        <w:tblPrEx>
          <w:tblCellMar>
            <w:top w:w="0" w:type="dxa"/>
            <w:bottom w:w="0" w:type="dxa"/>
          </w:tblCellMar>
        </w:tblPrEx>
        <w:tc>
          <w:tcPr>
            <w:tcW w:w="900" w:type="dxa"/>
            <w:tcMar>
              <w:top w:w="80" w:type="dxa"/>
              <w:left w:w="100" w:type="dxa"/>
              <w:bottom w:w="80" w:type="dxa"/>
              <w:right w:w="100" w:type="dxa"/>
            </w:tcMar>
            <w:vAlign w:val="center"/>
          </w:tcPr>
          <w:p w14:paraId="1BDBA2AD" w14:textId="77777777" w:rsidR="00FD4E7B" w:rsidRDefault="00000000">
            <w:r>
              <w:rPr>
                <w:rFonts w:ascii="Arial" w:eastAsia="Arial" w:hAnsi="Arial" w:cs="Arial"/>
              </w:rPr>
              <w:t>8</w:t>
            </w:r>
          </w:p>
        </w:tc>
        <w:tc>
          <w:tcPr>
            <w:tcW w:w="5950" w:type="dxa"/>
            <w:tcMar>
              <w:top w:w="80" w:type="dxa"/>
              <w:left w:w="100" w:type="dxa"/>
              <w:bottom w:w="80" w:type="dxa"/>
              <w:right w:w="100" w:type="dxa"/>
            </w:tcMar>
            <w:vAlign w:val="center"/>
          </w:tcPr>
          <w:p w14:paraId="53FC7D78" w14:textId="77777777" w:rsidR="00FD4E7B" w:rsidRDefault="00000000">
            <w:r>
              <w:rPr>
                <w:rFonts w:ascii="Arial" w:eastAsia="Arial" w:hAnsi="Arial" w:cs="Arial"/>
              </w:rPr>
              <w:t>Mid-report presentation</w:t>
            </w:r>
          </w:p>
        </w:tc>
        <w:tc>
          <w:tcPr>
            <w:tcW w:w="2500" w:type="dxa"/>
            <w:tcMar>
              <w:top w:w="80" w:type="dxa"/>
              <w:left w:w="100" w:type="dxa"/>
              <w:bottom w:w="80" w:type="dxa"/>
              <w:right w:w="100" w:type="dxa"/>
            </w:tcMar>
            <w:vAlign w:val="center"/>
          </w:tcPr>
          <w:p w14:paraId="18664E65" w14:textId="77777777" w:rsidR="00FD4E7B" w:rsidRDefault="00000000">
            <w:r>
              <w:rPr>
                <w:rFonts w:ascii="Arial" w:eastAsia="Arial" w:hAnsi="Arial" w:cs="Arial"/>
              </w:rPr>
              <w:t>Completed</w:t>
            </w:r>
          </w:p>
        </w:tc>
      </w:tr>
    </w:tbl>
    <w:p w14:paraId="7A9A9FBC" w14:textId="77777777" w:rsidR="00FD4E7B" w:rsidRDefault="00000000">
      <w:pPr>
        <w:spacing w:before="80" w:after="240"/>
        <w:jc w:val="center"/>
      </w:pPr>
      <w:r>
        <w:rPr>
          <w:rFonts w:ascii="Arial" w:eastAsia="Arial" w:hAnsi="Arial" w:cs="Arial"/>
          <w:i/>
          <w:iCs/>
          <w:sz w:val="19"/>
          <w:szCs w:val="19"/>
        </w:rPr>
        <w:t>Table 1. Schedule, Weeks 1–8 (interim-report horizon), start date 8 August 2026.</w:t>
      </w:r>
    </w:p>
    <w:p w14:paraId="18EEE6F6" w14:textId="77777777" w:rsidR="00FD4E7B" w:rsidRDefault="00000000">
      <w:pPr>
        <w:spacing w:after="200" w:line="480" w:lineRule="auto"/>
        <w:jc w:val="both"/>
      </w:pPr>
      <w:r>
        <w:rPr>
          <w:rFonts w:ascii="Arial" w:eastAsia="Arial" w:hAnsi="Arial" w:cs="Arial"/>
          <w:sz w:val="22"/>
          <w:szCs w:val="22"/>
        </w:rPr>
        <w:t xml:space="preserve">Weeks 9 to 15 cover the optimisation engine, an independent holdout benchmark, the team's own edge and failure cases, the evaluation scorecard, the </w:t>
      </w:r>
      <w:proofErr w:type="spellStart"/>
      <w:r>
        <w:rPr>
          <w:rFonts w:ascii="Arial" w:eastAsia="Arial" w:hAnsi="Arial" w:cs="Arial"/>
          <w:sz w:val="22"/>
          <w:szCs w:val="22"/>
        </w:rPr>
        <w:t>FastAPI</w:t>
      </w:r>
      <w:proofErr w:type="spellEnd"/>
      <w:r>
        <w:rPr>
          <w:rFonts w:ascii="Arial" w:eastAsia="Arial" w:hAnsi="Arial" w:cs="Arial"/>
          <w:sz w:val="22"/>
          <w:szCs w:val="22"/>
        </w:rPr>
        <w:t xml:space="preserve"> stretch goal, and the final report. These are detailed in Section 8 and Table 3.</w:t>
      </w:r>
    </w:p>
    <w:p w14:paraId="201F21FE" w14:textId="77777777" w:rsidR="00FD4E7B" w:rsidRDefault="00000000">
      <w:pPr>
        <w:pStyle w:val="Heading1"/>
        <w:spacing w:before="360" w:after="200"/>
      </w:pPr>
      <w:r>
        <w:rPr>
          <w:rFonts w:ascii="Arial" w:eastAsia="Arial" w:hAnsi="Arial" w:cs="Arial"/>
          <w:b/>
          <w:bCs/>
          <w:color w:val="1A1A1A"/>
          <w:sz w:val="30"/>
          <w:szCs w:val="30"/>
        </w:rPr>
        <w:t>4. Literature Review</w:t>
      </w:r>
    </w:p>
    <w:p w14:paraId="6567D0B5" w14:textId="77777777" w:rsidR="00FD4E7B" w:rsidRDefault="00000000">
      <w:pPr>
        <w:pStyle w:val="Heading2"/>
        <w:spacing w:before="360" w:after="200"/>
      </w:pPr>
      <w:r>
        <w:rPr>
          <w:rFonts w:ascii="Arial" w:eastAsia="Arial" w:hAnsi="Arial" w:cs="Arial"/>
          <w:b/>
          <w:bCs/>
          <w:color w:val="1A1A1A"/>
        </w:rPr>
        <w:t>4.1 Academic Literature on Three-Dimensional Bin Packing</w:t>
      </w:r>
    </w:p>
    <w:p w14:paraId="5ABE9BE0" w14:textId="77777777" w:rsidR="00FD4E7B" w:rsidRDefault="00000000">
      <w:pPr>
        <w:spacing w:after="200" w:line="480" w:lineRule="auto"/>
        <w:jc w:val="both"/>
      </w:pPr>
      <w:r>
        <w:rPr>
          <w:rFonts w:ascii="Arial" w:eastAsia="Arial" w:hAnsi="Arial" w:cs="Arial"/>
          <w:sz w:val="22"/>
          <w:szCs w:val="22"/>
        </w:rPr>
        <w:t>Martello et al. (2000) formalised the three-dimensional bin-packing problem, proved it strongly NP-hard, and proposed an exact branch-and-bound algorithm alongside approximation heuristics. That result is the baseline this project's heuristic approach is built around: an exact solution isn't practical at production scale, so a fast, explainable heuristic is the right engineering choice here.</w:t>
      </w:r>
    </w:p>
    <w:p w14:paraId="5D6EBE55" w14:textId="1149C633" w:rsidR="00FD4E7B" w:rsidRDefault="00000000">
      <w:pPr>
        <w:spacing w:after="200" w:line="480" w:lineRule="auto"/>
        <w:jc w:val="both"/>
      </w:pPr>
      <w:r>
        <w:rPr>
          <w:rFonts w:ascii="Arial" w:eastAsia="Arial" w:hAnsi="Arial" w:cs="Arial"/>
          <w:sz w:val="22"/>
          <w:szCs w:val="22"/>
        </w:rPr>
        <w:t xml:space="preserve">Lodi et al. (2002) extended this with heuristic algorithms aimed at practical runtime, comparing constructive and improvement-based approaches for the 3D case. Well-designed constructive </w:t>
      </w:r>
      <w:r>
        <w:rPr>
          <w:rFonts w:ascii="Arial" w:eastAsia="Arial" w:hAnsi="Arial" w:cs="Arial"/>
          <w:sz w:val="22"/>
          <w:szCs w:val="22"/>
        </w:rPr>
        <w:lastRenderedPageBreak/>
        <w:t xml:space="preserve">heuristics can get close to near-optimal solutions far faster than exact methods </w:t>
      </w:r>
      <w:r w:rsidR="003E0A92">
        <w:rPr>
          <w:rFonts w:ascii="Arial" w:eastAsia="Arial" w:hAnsi="Arial" w:cs="Arial"/>
          <w:sz w:val="22"/>
          <w:szCs w:val="22"/>
        </w:rPr>
        <w:t>-</w:t>
      </w:r>
      <w:r>
        <w:rPr>
          <w:rFonts w:ascii="Arial" w:eastAsia="Arial" w:hAnsi="Arial" w:cs="Arial"/>
          <w:sz w:val="22"/>
          <w:szCs w:val="22"/>
        </w:rPr>
        <w:t xml:space="preserve"> which motivates this project's own constructive, non-exact placement strategy.</w:t>
      </w:r>
    </w:p>
    <w:p w14:paraId="7C88BA89" w14:textId="2DA62678" w:rsidR="00FD4E7B" w:rsidRDefault="00000000">
      <w:pPr>
        <w:spacing w:after="200" w:line="480" w:lineRule="auto"/>
        <w:jc w:val="both"/>
      </w:pPr>
      <w:r>
        <w:rPr>
          <w:rFonts w:ascii="Arial" w:eastAsia="Arial" w:hAnsi="Arial" w:cs="Arial"/>
          <w:sz w:val="22"/>
          <w:szCs w:val="22"/>
        </w:rPr>
        <w:t xml:space="preserve">The core geometric mechanism is the extreme-point (EP) placement rule from </w:t>
      </w:r>
      <w:proofErr w:type="spellStart"/>
      <w:r>
        <w:rPr>
          <w:rFonts w:ascii="Arial" w:eastAsia="Arial" w:hAnsi="Arial" w:cs="Arial"/>
          <w:sz w:val="22"/>
          <w:szCs w:val="22"/>
        </w:rPr>
        <w:t>Crainic</w:t>
      </w:r>
      <w:proofErr w:type="spellEnd"/>
      <w:r>
        <w:rPr>
          <w:rFonts w:ascii="Arial" w:eastAsia="Arial" w:hAnsi="Arial" w:cs="Arial"/>
          <w:sz w:val="22"/>
          <w:szCs w:val="22"/>
        </w:rPr>
        <w:t xml:space="preserve">, </w:t>
      </w:r>
      <w:proofErr w:type="spellStart"/>
      <w:r>
        <w:rPr>
          <w:rFonts w:ascii="Arial" w:eastAsia="Arial" w:hAnsi="Arial" w:cs="Arial"/>
          <w:sz w:val="22"/>
          <w:szCs w:val="22"/>
        </w:rPr>
        <w:t>Perboli</w:t>
      </w:r>
      <w:proofErr w:type="spellEnd"/>
      <w:r>
        <w:rPr>
          <w:rFonts w:ascii="Arial" w:eastAsia="Arial" w:hAnsi="Arial" w:cs="Arial"/>
          <w:sz w:val="22"/>
          <w:szCs w:val="22"/>
        </w:rPr>
        <w:t xml:space="preserve">, and </w:t>
      </w:r>
      <w:proofErr w:type="spellStart"/>
      <w:r>
        <w:rPr>
          <w:rFonts w:ascii="Arial" w:eastAsia="Arial" w:hAnsi="Arial" w:cs="Arial"/>
          <w:sz w:val="22"/>
          <w:szCs w:val="22"/>
        </w:rPr>
        <w:t>Tadei</w:t>
      </w:r>
      <w:proofErr w:type="spellEnd"/>
      <w:r>
        <w:rPr>
          <w:rFonts w:ascii="Arial" w:eastAsia="Arial" w:hAnsi="Arial" w:cs="Arial"/>
          <w:sz w:val="22"/>
          <w:szCs w:val="22"/>
        </w:rPr>
        <w:t xml:space="preserve"> (2008). Rather than exhaustively searching all empty space inside a partially filled carton, EP tracks a small set of candidate "corner" points exposed by already-placed items </w:t>
      </w:r>
      <w:r w:rsidR="003E0A92">
        <w:rPr>
          <w:rFonts w:ascii="Arial" w:eastAsia="Arial" w:hAnsi="Arial" w:cs="Arial"/>
          <w:sz w:val="22"/>
          <w:szCs w:val="22"/>
        </w:rPr>
        <w:t>-</w:t>
      </w:r>
      <w:r>
        <w:rPr>
          <w:rFonts w:ascii="Arial" w:eastAsia="Arial" w:hAnsi="Arial" w:cs="Arial"/>
          <w:sz w:val="22"/>
          <w:szCs w:val="22"/>
        </w:rPr>
        <w:t xml:space="preserve"> the three points exposed to the right of, behind, and above each newly placed item </w:t>
      </w:r>
      <w:r w:rsidR="003E0A92">
        <w:rPr>
          <w:rFonts w:ascii="Arial" w:eastAsia="Arial" w:hAnsi="Arial" w:cs="Arial"/>
          <w:sz w:val="22"/>
          <w:szCs w:val="22"/>
        </w:rPr>
        <w:t>-</w:t>
      </w:r>
      <w:r>
        <w:rPr>
          <w:rFonts w:ascii="Arial" w:eastAsia="Arial" w:hAnsi="Arial" w:cs="Arial"/>
          <w:sz w:val="22"/>
          <w:szCs w:val="22"/>
        </w:rPr>
        <w:t xml:space="preserve"> and tries subsequent items only there. </w:t>
      </w:r>
      <w:proofErr w:type="spellStart"/>
      <w:r>
        <w:rPr>
          <w:rFonts w:ascii="Arial" w:eastAsia="Arial" w:hAnsi="Arial" w:cs="Arial"/>
          <w:sz w:val="22"/>
          <w:szCs w:val="22"/>
        </w:rPr>
        <w:t>Crainic</w:t>
      </w:r>
      <w:proofErr w:type="spellEnd"/>
      <w:r>
        <w:rPr>
          <w:rFonts w:ascii="Arial" w:eastAsia="Arial" w:hAnsi="Arial" w:cs="Arial"/>
          <w:sz w:val="22"/>
          <w:szCs w:val="22"/>
        </w:rPr>
        <w:t xml:space="preserve"> et al. (2008) show this generalises cleanly to extra constraints such as fixed item positions, which is why it was chosen as the shared geometric engine for both First Fit and Best Fit here, rather than building two unrelated placement mechanisms.</w:t>
      </w:r>
    </w:p>
    <w:p w14:paraId="24691D0C" w14:textId="629C2013" w:rsidR="00FD4E7B" w:rsidRDefault="00000000">
      <w:pPr>
        <w:spacing w:after="200" w:line="480" w:lineRule="auto"/>
        <w:jc w:val="both"/>
      </w:pPr>
      <w:r>
        <w:rPr>
          <w:rFonts w:ascii="Arial" w:eastAsia="Arial" w:hAnsi="Arial" w:cs="Arial"/>
          <w:sz w:val="22"/>
          <w:szCs w:val="22"/>
        </w:rPr>
        <w:t xml:space="preserve">First Fit and Best Fit are standard bin-selection policies: First Fit picks the first, often smallest, bin that fits; Best Fit picks the bin left with the least residual capacity. One non-obvious finding from the author's own implementation (Section 6): under a formulation where only bins already proven to hold the entire remaining item set are ranked, First Fit and Best Fit are mathematically equivalent. The smallest feasible bin and the fullest feasible bin are the same bin, since packed volume is identical across every feasible candidate </w:t>
      </w:r>
      <w:r w:rsidR="003E0A92">
        <w:rPr>
          <w:rFonts w:ascii="Arial" w:eastAsia="Arial" w:hAnsi="Arial" w:cs="Arial"/>
          <w:sz w:val="22"/>
          <w:szCs w:val="22"/>
        </w:rPr>
        <w:t>-</w:t>
      </w:r>
      <w:r>
        <w:rPr>
          <w:rFonts w:ascii="Arial" w:eastAsia="Arial" w:hAnsi="Arial" w:cs="Arial"/>
          <w:sz w:val="22"/>
          <w:szCs w:val="22"/>
        </w:rPr>
        <w:t xml:space="preserve"> consistent with the literature's treatment of the two as closely related greedy policies (Lodi et al., 2002), sharpened here into a provable equivalence.</w:t>
      </w:r>
    </w:p>
    <w:p w14:paraId="6F8C11D3" w14:textId="575B13B7" w:rsidR="00FD4E7B" w:rsidRDefault="00000000">
      <w:pPr>
        <w:spacing w:after="200" w:line="480" w:lineRule="auto"/>
        <w:jc w:val="both"/>
      </w:pPr>
      <w:r>
        <w:rPr>
          <w:rFonts w:ascii="Arial" w:eastAsia="Arial" w:hAnsi="Arial" w:cs="Arial"/>
          <w:sz w:val="22"/>
          <w:szCs w:val="22"/>
        </w:rPr>
        <w:t xml:space="preserve">That equivalence is really the scope boundary of this project phase. Making Best provably better than </w:t>
      </w:r>
      <w:proofErr w:type="gramStart"/>
      <w:r>
        <w:rPr>
          <w:rFonts w:ascii="Arial" w:eastAsia="Arial" w:hAnsi="Arial" w:cs="Arial"/>
          <w:sz w:val="22"/>
          <w:szCs w:val="22"/>
        </w:rPr>
        <w:t>Fast</w:t>
      </w:r>
      <w:proofErr w:type="gramEnd"/>
      <w:r>
        <w:rPr>
          <w:rFonts w:ascii="Arial" w:eastAsia="Arial" w:hAnsi="Arial" w:cs="Arial"/>
          <w:sz w:val="22"/>
          <w:szCs w:val="22"/>
        </w:rPr>
        <w:t xml:space="preserve">, not just identical, means moving from a heuristic ranking rule toward an exact or near-exact optimisation method </w:t>
      </w:r>
      <w:r w:rsidR="003E0A92">
        <w:rPr>
          <w:rFonts w:ascii="Arial" w:eastAsia="Arial" w:hAnsi="Arial" w:cs="Arial"/>
          <w:sz w:val="22"/>
          <w:szCs w:val="22"/>
        </w:rPr>
        <w:t>-</w:t>
      </w:r>
      <w:r>
        <w:rPr>
          <w:rFonts w:ascii="Arial" w:eastAsia="Arial" w:hAnsi="Arial" w:cs="Arial"/>
          <w:sz w:val="22"/>
          <w:szCs w:val="22"/>
        </w:rPr>
        <w:t xml:space="preserve"> constraint programming, in the branch-and-bound tradition of Martello et al. (2000). Building that engine is final-report work (Section 8), outside the scope of this interim submission.</w:t>
      </w:r>
    </w:p>
    <w:p w14:paraId="267D0B5A" w14:textId="77777777" w:rsidR="003E0A92" w:rsidRDefault="003E0A92">
      <w:pPr>
        <w:pStyle w:val="Heading1"/>
        <w:spacing w:before="360" w:after="200"/>
        <w:rPr>
          <w:rFonts w:ascii="Arial" w:eastAsia="Arial" w:hAnsi="Arial" w:cs="Arial"/>
          <w:b/>
          <w:bCs/>
          <w:color w:val="1A1A1A"/>
          <w:sz w:val="30"/>
          <w:szCs w:val="30"/>
        </w:rPr>
      </w:pPr>
    </w:p>
    <w:p w14:paraId="6B94BBE5" w14:textId="58A0A8EA" w:rsidR="00FD4E7B" w:rsidRDefault="00000000">
      <w:pPr>
        <w:pStyle w:val="Heading1"/>
        <w:spacing w:before="360" w:after="200"/>
      </w:pPr>
      <w:r>
        <w:rPr>
          <w:rFonts w:ascii="Arial" w:eastAsia="Arial" w:hAnsi="Arial" w:cs="Arial"/>
          <w:b/>
          <w:bCs/>
          <w:color w:val="1A1A1A"/>
          <w:sz w:val="30"/>
          <w:szCs w:val="30"/>
        </w:rPr>
        <w:lastRenderedPageBreak/>
        <w:t>5. Analysis of Industry and Company</w:t>
      </w:r>
    </w:p>
    <w:p w14:paraId="43F91DED" w14:textId="77777777" w:rsidR="00FD4E7B" w:rsidRDefault="00000000">
      <w:pPr>
        <w:pStyle w:val="Heading2"/>
        <w:spacing w:before="360" w:after="200"/>
      </w:pPr>
      <w:r>
        <w:rPr>
          <w:rFonts w:ascii="Arial" w:eastAsia="Arial" w:hAnsi="Arial" w:cs="Arial"/>
          <w:b/>
          <w:bCs/>
          <w:color w:val="1A1A1A"/>
        </w:rPr>
        <w:t>5.1 Logistics Industry Context</w:t>
      </w:r>
    </w:p>
    <w:p w14:paraId="46FDEFEE" w14:textId="77777777" w:rsidR="00FD4E7B" w:rsidRDefault="00000000">
      <w:pPr>
        <w:spacing w:after="200" w:line="480" w:lineRule="auto"/>
        <w:jc w:val="both"/>
      </w:pPr>
      <w:r>
        <w:rPr>
          <w:rFonts w:ascii="Arial" w:eastAsia="Arial" w:hAnsi="Arial" w:cs="Arial"/>
          <w:sz w:val="22"/>
          <w:szCs w:val="22"/>
        </w:rPr>
        <w:t xml:space="preserve">The 3D bin packing problem this project addresses </w:t>
      </w:r>
      <w:proofErr w:type="gramStart"/>
      <w:r>
        <w:rPr>
          <w:rFonts w:ascii="Arial" w:eastAsia="Arial" w:hAnsi="Arial" w:cs="Arial"/>
          <w:sz w:val="22"/>
          <w:szCs w:val="22"/>
        </w:rPr>
        <w:t>is</w:t>
      </w:r>
      <w:proofErr w:type="gramEnd"/>
      <w:r>
        <w:rPr>
          <w:rFonts w:ascii="Arial" w:eastAsia="Arial" w:hAnsi="Arial" w:cs="Arial"/>
          <w:sz w:val="22"/>
          <w:szCs w:val="22"/>
        </w:rPr>
        <w:t xml:space="preserve"> commercially significant. A shipping box can routinely contain 50% to 90% empty space when carton selection isn't optimised, and automated box-selection can cut freight costs by 10% to 25% depending on order complexity and shipping zone (Logistics Viewpoints, 2025; </w:t>
      </w:r>
      <w:proofErr w:type="spellStart"/>
      <w:r>
        <w:rPr>
          <w:rFonts w:ascii="Arial" w:eastAsia="Arial" w:hAnsi="Arial" w:cs="Arial"/>
          <w:sz w:val="22"/>
          <w:szCs w:val="22"/>
        </w:rPr>
        <w:t>PackChain</w:t>
      </w:r>
      <w:proofErr w:type="spellEnd"/>
      <w:r>
        <w:rPr>
          <w:rFonts w:ascii="Arial" w:eastAsia="Arial" w:hAnsi="Arial" w:cs="Arial"/>
          <w:sz w:val="22"/>
          <w:szCs w:val="22"/>
        </w:rPr>
        <w:t>, n.d.). The Packaging Machinery Manufacturers Institute reports standardising and automating box selection can cut packaging costs by a further 12% to 18% (as cited in Logistics Viewpoints, 2025).</w:t>
      </w:r>
    </w:p>
    <w:p w14:paraId="16EA4758" w14:textId="77142D03" w:rsidR="00FD4E7B" w:rsidRDefault="00000000">
      <w:pPr>
        <w:spacing w:after="200" w:line="480" w:lineRule="auto"/>
        <w:jc w:val="both"/>
      </w:pPr>
      <w:r>
        <w:rPr>
          <w:rFonts w:ascii="Arial" w:eastAsia="Arial" w:hAnsi="Arial" w:cs="Arial"/>
          <w:sz w:val="22"/>
          <w:szCs w:val="22"/>
        </w:rPr>
        <w:t xml:space="preserve">Commercial platforms such as </w:t>
      </w:r>
      <w:proofErr w:type="spellStart"/>
      <w:r>
        <w:rPr>
          <w:rFonts w:ascii="Arial" w:eastAsia="Arial" w:hAnsi="Arial" w:cs="Arial"/>
          <w:sz w:val="22"/>
          <w:szCs w:val="22"/>
        </w:rPr>
        <w:t>Shipium</w:t>
      </w:r>
      <w:proofErr w:type="spellEnd"/>
      <w:r>
        <w:rPr>
          <w:rFonts w:ascii="Arial" w:eastAsia="Arial" w:hAnsi="Arial" w:cs="Arial"/>
          <w:sz w:val="22"/>
          <w:szCs w:val="22"/>
        </w:rPr>
        <w:t xml:space="preserve">, </w:t>
      </w:r>
      <w:proofErr w:type="spellStart"/>
      <w:r>
        <w:rPr>
          <w:rFonts w:ascii="Arial" w:eastAsia="Arial" w:hAnsi="Arial" w:cs="Arial"/>
          <w:sz w:val="22"/>
          <w:szCs w:val="22"/>
        </w:rPr>
        <w:t>ShipBob</w:t>
      </w:r>
      <w:proofErr w:type="spellEnd"/>
      <w:r>
        <w:rPr>
          <w:rFonts w:ascii="Arial" w:eastAsia="Arial" w:hAnsi="Arial" w:cs="Arial"/>
          <w:sz w:val="22"/>
          <w:szCs w:val="22"/>
        </w:rPr>
        <w:t xml:space="preserve">, </w:t>
      </w:r>
      <w:proofErr w:type="spellStart"/>
      <w:r>
        <w:rPr>
          <w:rFonts w:ascii="Arial" w:eastAsia="Arial" w:hAnsi="Arial" w:cs="Arial"/>
          <w:sz w:val="22"/>
          <w:szCs w:val="22"/>
        </w:rPr>
        <w:t>PackNet</w:t>
      </w:r>
      <w:proofErr w:type="spellEnd"/>
      <w:r>
        <w:rPr>
          <w:rFonts w:ascii="Arial" w:eastAsia="Arial" w:hAnsi="Arial" w:cs="Arial"/>
          <w:sz w:val="22"/>
          <w:szCs w:val="22"/>
        </w:rPr>
        <w:t xml:space="preserve"> Cube, and </w:t>
      </w:r>
      <w:proofErr w:type="spellStart"/>
      <w:r>
        <w:rPr>
          <w:rFonts w:ascii="Arial" w:eastAsia="Arial" w:hAnsi="Arial" w:cs="Arial"/>
          <w:sz w:val="22"/>
          <w:szCs w:val="22"/>
        </w:rPr>
        <w:t>MagicLogic</w:t>
      </w:r>
      <w:proofErr w:type="spellEnd"/>
      <w:r>
        <w:rPr>
          <w:rFonts w:ascii="Arial" w:eastAsia="Arial" w:hAnsi="Arial" w:cs="Arial"/>
          <w:sz w:val="22"/>
          <w:szCs w:val="22"/>
        </w:rPr>
        <w:t xml:space="preserve"> converge on the same core technique this project implements: given item dimensions, weight, and a box catalogue, evaluate feasible combinations and pick the one that wastes the least volume (3DBinPacking, 2025; </w:t>
      </w:r>
      <w:proofErr w:type="spellStart"/>
      <w:r>
        <w:rPr>
          <w:rFonts w:ascii="Arial" w:eastAsia="Arial" w:hAnsi="Arial" w:cs="Arial"/>
          <w:sz w:val="22"/>
          <w:szCs w:val="22"/>
        </w:rPr>
        <w:t>PackChain</w:t>
      </w:r>
      <w:proofErr w:type="spellEnd"/>
      <w:r>
        <w:rPr>
          <w:rFonts w:ascii="Arial" w:eastAsia="Arial" w:hAnsi="Arial" w:cs="Arial"/>
          <w:sz w:val="22"/>
          <w:szCs w:val="22"/>
        </w:rPr>
        <w:t xml:space="preserve">, n.d.). This isn't an academic exercise </w:t>
      </w:r>
      <w:r w:rsidR="003E0A92">
        <w:rPr>
          <w:rFonts w:ascii="Arial" w:eastAsia="Arial" w:hAnsi="Arial" w:cs="Arial"/>
          <w:sz w:val="22"/>
          <w:szCs w:val="22"/>
        </w:rPr>
        <w:t>-</w:t>
      </w:r>
      <w:r>
        <w:rPr>
          <w:rFonts w:ascii="Arial" w:eastAsia="Arial" w:hAnsi="Arial" w:cs="Arial"/>
          <w:sz w:val="22"/>
          <w:szCs w:val="22"/>
        </w:rPr>
        <w:t xml:space="preserve"> it's a capability companies already sell, with case studies reporting double-digit reductions in shipping cost and void-fill material after implementation (3DBinPacking, 2025).</w:t>
      </w:r>
    </w:p>
    <w:p w14:paraId="34BFB231" w14:textId="77777777" w:rsidR="00FD4E7B" w:rsidRDefault="00000000">
      <w:pPr>
        <w:pStyle w:val="Heading2"/>
        <w:spacing w:before="360" w:after="200"/>
      </w:pPr>
      <w:r>
        <w:rPr>
          <w:rFonts w:ascii="Arial" w:eastAsia="Arial" w:hAnsi="Arial" w:cs="Arial"/>
          <w:b/>
          <w:bCs/>
          <w:color w:val="1A1A1A"/>
        </w:rPr>
        <w:t>5.2 iHub's Operational Challenges</w:t>
      </w:r>
    </w:p>
    <w:p w14:paraId="3923D69F" w14:textId="77777777" w:rsidR="00FD4E7B" w:rsidRDefault="00000000">
      <w:pPr>
        <w:spacing w:after="200" w:line="480" w:lineRule="auto"/>
        <w:jc w:val="both"/>
      </w:pPr>
      <w:r>
        <w:rPr>
          <w:rFonts w:ascii="Arial" w:eastAsia="Arial" w:hAnsi="Arial" w:cs="Arial"/>
          <w:sz w:val="22"/>
          <w:szCs w:val="22"/>
        </w:rPr>
        <w:t>For iHub this isn't a hypothetical trend, it's a direct operational cost. As a 3PL serving e-commerce, fashion, and healthcare clients across four markets (Section 1.2), every point of wasted carton volume compounds across iHub's order volume and gets passed through to the clients it fulfils for.</w:t>
      </w:r>
    </w:p>
    <w:p w14:paraId="2EED5CEB" w14:textId="77777777" w:rsidR="00FD4E7B" w:rsidRDefault="00000000">
      <w:pPr>
        <w:pStyle w:val="Heading2"/>
        <w:spacing w:before="360" w:after="200"/>
      </w:pPr>
      <w:r>
        <w:rPr>
          <w:rFonts w:ascii="Arial" w:eastAsia="Arial" w:hAnsi="Arial" w:cs="Arial"/>
          <w:b/>
          <w:bCs/>
          <w:color w:val="1A1A1A"/>
        </w:rPr>
        <w:t>5.3 Limitations of Reliance on Proprietary Packing APIs</w:t>
      </w:r>
    </w:p>
    <w:p w14:paraId="63125DF7" w14:textId="37BCAC2A" w:rsidR="00FD4E7B" w:rsidRDefault="00000000">
      <w:pPr>
        <w:spacing w:after="200" w:line="480" w:lineRule="auto"/>
        <w:jc w:val="both"/>
      </w:pPr>
      <w:r>
        <w:rPr>
          <w:rFonts w:ascii="Arial" w:eastAsia="Arial" w:hAnsi="Arial" w:cs="Arial"/>
          <w:sz w:val="22"/>
          <w:szCs w:val="22"/>
        </w:rPr>
        <w:t xml:space="preserve">iHub's current B2C fulfilment relies on a third-party proprietary API for carton selection (Section 2). That creates a technical dependency </w:t>
      </w:r>
      <w:r w:rsidR="003E0A92">
        <w:rPr>
          <w:rFonts w:ascii="Arial" w:eastAsia="Arial" w:hAnsi="Arial" w:cs="Arial"/>
          <w:sz w:val="22"/>
          <w:szCs w:val="22"/>
        </w:rPr>
        <w:t>-</w:t>
      </w:r>
      <w:r>
        <w:rPr>
          <w:rFonts w:ascii="Arial" w:eastAsia="Arial" w:hAnsi="Arial" w:cs="Arial"/>
          <w:sz w:val="22"/>
          <w:szCs w:val="22"/>
        </w:rPr>
        <w:t xml:space="preserve"> the API can't be customised for constraints like vertical-rotation handling or fill-percentage rules </w:t>
      </w:r>
      <w:r w:rsidR="003E0A92">
        <w:rPr>
          <w:rFonts w:ascii="Arial" w:eastAsia="Arial" w:hAnsi="Arial" w:cs="Arial"/>
          <w:sz w:val="22"/>
          <w:szCs w:val="22"/>
        </w:rPr>
        <w:t>-</w:t>
      </w:r>
      <w:r>
        <w:rPr>
          <w:rFonts w:ascii="Arial" w:eastAsia="Arial" w:hAnsi="Arial" w:cs="Arial"/>
          <w:sz w:val="22"/>
          <w:szCs w:val="22"/>
        </w:rPr>
        <w:t xml:space="preserve"> and an economic one, since pay-per-use pricing scales </w:t>
      </w:r>
      <w:r>
        <w:rPr>
          <w:rFonts w:ascii="Arial" w:eastAsia="Arial" w:hAnsi="Arial" w:cs="Arial"/>
          <w:sz w:val="22"/>
          <w:szCs w:val="22"/>
        </w:rPr>
        <w:lastRenderedPageBreak/>
        <w:t>linearly with order volume even though iHub already runs warehouse infrastructure that could host the computation more cheaply.</w:t>
      </w:r>
    </w:p>
    <w:p w14:paraId="52ABA838" w14:textId="77777777" w:rsidR="00FD4E7B" w:rsidRDefault="00000000">
      <w:pPr>
        <w:pStyle w:val="Heading2"/>
        <w:spacing w:before="360" w:after="200"/>
      </w:pPr>
      <w:r>
        <w:rPr>
          <w:rFonts w:ascii="Arial" w:eastAsia="Arial" w:hAnsi="Arial" w:cs="Arial"/>
          <w:b/>
          <w:bCs/>
          <w:color w:val="1A1A1A"/>
        </w:rPr>
        <w:t>5.4 Potential Operational Value of the Proposed Solution</w:t>
      </w:r>
    </w:p>
    <w:p w14:paraId="1E613DDE" w14:textId="2B2EE76B" w:rsidR="00FD4E7B" w:rsidRDefault="00000000">
      <w:pPr>
        <w:spacing w:after="200" w:line="480" w:lineRule="auto"/>
        <w:jc w:val="both"/>
      </w:pPr>
      <w:r>
        <w:rPr>
          <w:rFonts w:ascii="Arial" w:eastAsia="Arial" w:hAnsi="Arial" w:cs="Arial"/>
          <w:sz w:val="22"/>
          <w:szCs w:val="22"/>
        </w:rPr>
        <w:t>A self-hosted, explainable solution addresses both problems at once, and fits iHub's own digital-transformation direction. A packing capability iHub owns and can tune, rather than renting one per call, also fits naturally into the Virtual Logistics System and AI/ML-driven optimisation iHub already advertises to customers</w:t>
      </w:r>
      <w:r w:rsidR="003E0A92">
        <w:rPr>
          <w:rFonts w:ascii="Arial" w:eastAsia="Arial" w:hAnsi="Arial" w:cs="Arial"/>
          <w:sz w:val="22"/>
          <w:szCs w:val="22"/>
        </w:rPr>
        <w:t>-</w:t>
      </w:r>
      <w:r>
        <w:rPr>
          <w:rFonts w:ascii="Arial" w:eastAsia="Arial" w:hAnsi="Arial" w:cs="Arial"/>
          <w:sz w:val="22"/>
          <w:szCs w:val="22"/>
        </w:rPr>
        <w:t xml:space="preserve"> a plausible candidate for real integration, not just an academic exercise.</w:t>
      </w:r>
    </w:p>
    <w:p w14:paraId="138F391B" w14:textId="77777777" w:rsidR="00FD4E7B" w:rsidRDefault="00000000">
      <w:pPr>
        <w:pStyle w:val="Heading1"/>
        <w:spacing w:before="360" w:after="200"/>
      </w:pPr>
      <w:r>
        <w:rPr>
          <w:rFonts w:ascii="Arial" w:eastAsia="Arial" w:hAnsi="Arial" w:cs="Arial"/>
          <w:b/>
          <w:bCs/>
          <w:color w:val="1A1A1A"/>
          <w:sz w:val="30"/>
          <w:szCs w:val="30"/>
        </w:rPr>
        <w:t>6. Data Gathering, Methodology and Analysis</w:t>
      </w:r>
    </w:p>
    <w:p w14:paraId="788E70E9" w14:textId="77777777" w:rsidR="00FD4E7B" w:rsidRDefault="00000000">
      <w:pPr>
        <w:pStyle w:val="Heading2"/>
        <w:spacing w:before="360" w:after="200"/>
      </w:pPr>
      <w:r>
        <w:rPr>
          <w:rFonts w:ascii="Arial" w:eastAsia="Arial" w:hAnsi="Arial" w:cs="Arial"/>
          <w:b/>
          <w:bCs/>
          <w:color w:val="1A1A1A"/>
        </w:rPr>
        <w:t>6.1 Dataset</w:t>
      </w:r>
    </w:p>
    <w:p w14:paraId="0B8E8C04" w14:textId="1DFB4307" w:rsidR="00FD4E7B" w:rsidRDefault="00000000">
      <w:pPr>
        <w:spacing w:after="200" w:line="480" w:lineRule="auto"/>
        <w:jc w:val="both"/>
      </w:pPr>
      <w:r>
        <w:rPr>
          <w:rFonts w:ascii="Arial" w:eastAsia="Arial" w:hAnsi="Arial" w:cs="Arial"/>
          <w:sz w:val="22"/>
          <w:szCs w:val="22"/>
        </w:rPr>
        <w:t xml:space="preserve">The supplied dataset contains 2,000 masked real iHub order request-and-response pairs in a single JSON array. Each record pairs an input (order items, box catalogue, packing parameters) with iHub's historical output: carton(s) selected, reported utilisation, and end-to-end latency in milliseconds. Item and order identifiers are masked, with no personally identifiable information. All 2,000 records report a successful pack with no unpacked items </w:t>
      </w:r>
      <w:r w:rsidR="003E0A92">
        <w:rPr>
          <w:rFonts w:ascii="Arial" w:eastAsia="Arial" w:hAnsi="Arial" w:cs="Arial"/>
          <w:sz w:val="22"/>
          <w:szCs w:val="22"/>
        </w:rPr>
        <w:t>-</w:t>
      </w:r>
      <w:r>
        <w:rPr>
          <w:rFonts w:ascii="Arial" w:eastAsia="Arial" w:hAnsi="Arial" w:cs="Arial"/>
          <w:sz w:val="22"/>
          <w:szCs w:val="22"/>
        </w:rPr>
        <w:t xml:space="preserve"> the dataset's own documentation flags this as a limitation the team </w:t>
      </w:r>
      <w:proofErr w:type="gramStart"/>
      <w:r>
        <w:rPr>
          <w:rFonts w:ascii="Arial" w:eastAsia="Arial" w:hAnsi="Arial" w:cs="Arial"/>
          <w:sz w:val="22"/>
          <w:szCs w:val="22"/>
        </w:rPr>
        <w:t>has to</w:t>
      </w:r>
      <w:proofErr w:type="gramEnd"/>
      <w:r>
        <w:rPr>
          <w:rFonts w:ascii="Arial" w:eastAsia="Arial" w:hAnsi="Arial" w:cs="Arial"/>
          <w:sz w:val="22"/>
          <w:szCs w:val="22"/>
        </w:rPr>
        <w:t xml:space="preserve"> compensate for with its own edge and failure cases, since the data can't show how the solver should behave when a pack isn't feasible.</w:t>
      </w:r>
    </w:p>
    <w:p w14:paraId="769E222F" w14:textId="02114392" w:rsidR="00FD4E7B" w:rsidRDefault="00000000">
      <w:pPr>
        <w:spacing w:after="200" w:line="480" w:lineRule="auto"/>
        <w:jc w:val="both"/>
      </w:pPr>
      <w:r>
        <w:rPr>
          <w:rFonts w:ascii="Arial" w:eastAsia="Arial" w:hAnsi="Arial" w:cs="Arial"/>
          <w:sz w:val="22"/>
          <w:szCs w:val="22"/>
        </w:rPr>
        <w:t xml:space="preserve">The Week 1 exploratory analysis turned up findings that shaped later design decisions. Order complexity, carton usage frequency, and utilisation were profiled across all 2,000 records. Most significant: the historical data doesn't consistently enforce its own stated 70% fill-rule threshold </w:t>
      </w:r>
      <w:r w:rsidR="003E0A92">
        <w:rPr>
          <w:rFonts w:ascii="Arial" w:eastAsia="Arial" w:hAnsi="Arial" w:cs="Arial"/>
          <w:sz w:val="22"/>
          <w:szCs w:val="22"/>
        </w:rPr>
        <w:t>-</w:t>
      </w:r>
      <w:r>
        <w:rPr>
          <w:rFonts w:ascii="Arial" w:eastAsia="Arial" w:hAnsi="Arial" w:cs="Arial"/>
          <w:sz w:val="22"/>
          <w:szCs w:val="22"/>
        </w:rPr>
        <w:t xml:space="preserve"> some orders are packed above 70% utilisation despite qualifying for the cap. That supports treating the historical dataset as a benchmark rather than ground truth. A solver that strictly </w:t>
      </w:r>
      <w:r>
        <w:rPr>
          <w:rFonts w:ascii="Arial" w:eastAsia="Arial" w:hAnsi="Arial" w:cs="Arial"/>
          <w:sz w:val="22"/>
          <w:szCs w:val="22"/>
        </w:rPr>
        <w:lastRenderedPageBreak/>
        <w:t>enforces the documented rule will sometimes disagree with history on carton count and choice without being wrong.</w:t>
      </w:r>
    </w:p>
    <w:p w14:paraId="2B924FC6" w14:textId="77777777" w:rsidR="00FD4E7B" w:rsidRDefault="00000000">
      <w:pPr>
        <w:pStyle w:val="Heading2"/>
        <w:spacing w:before="360" w:after="200"/>
      </w:pPr>
      <w:r>
        <w:rPr>
          <w:rFonts w:ascii="Arial" w:eastAsia="Arial" w:hAnsi="Arial" w:cs="Arial"/>
          <w:b/>
          <w:bCs/>
          <w:color w:val="1A1A1A"/>
        </w:rPr>
        <w:t>6.2 Methodology</w:t>
      </w:r>
    </w:p>
    <w:p w14:paraId="270B2B95" w14:textId="77777777" w:rsidR="00FD4E7B" w:rsidRDefault="00000000">
      <w:pPr>
        <w:spacing w:after="200" w:line="480" w:lineRule="auto"/>
        <w:jc w:val="both"/>
      </w:pPr>
      <w:r>
        <w:rPr>
          <w:rFonts w:ascii="Arial" w:eastAsia="Arial" w:hAnsi="Arial" w:cs="Arial"/>
          <w:sz w:val="22"/>
          <w:szCs w:val="22"/>
        </w:rPr>
        <w:t>Work for this phase followed a fixed sequence, agreed in Sprint 0 and tracked against the Section 3 schedule.</w:t>
      </w:r>
    </w:p>
    <w:p w14:paraId="7293C5FF" w14:textId="77777777" w:rsidR="00FD4E7B" w:rsidRDefault="00000000">
      <w:pPr>
        <w:pStyle w:val="Heading2"/>
        <w:spacing w:before="360" w:after="200"/>
      </w:pPr>
      <w:r>
        <w:rPr>
          <w:rFonts w:ascii="Arial" w:eastAsia="Arial" w:hAnsi="Arial" w:cs="Arial"/>
          <w:b/>
          <w:bCs/>
          <w:color w:val="1A1A1A"/>
        </w:rPr>
        <w:t>Requirements and rules</w:t>
      </w:r>
    </w:p>
    <w:p w14:paraId="2A1FC3CB" w14:textId="347C718D" w:rsidR="00FD4E7B" w:rsidRDefault="00000000">
      <w:pPr>
        <w:spacing w:after="200" w:line="480" w:lineRule="auto"/>
        <w:jc w:val="both"/>
      </w:pPr>
      <w:r>
        <w:rPr>
          <w:rFonts w:ascii="Arial" w:eastAsia="Arial" w:hAnsi="Arial" w:cs="Arial"/>
          <w:sz w:val="22"/>
          <w:szCs w:val="22"/>
        </w:rPr>
        <w:t xml:space="preserve">The solver's public contract (Section 2) and the dataset's own packing parameters </w:t>
      </w:r>
      <w:r w:rsidR="003E0A92">
        <w:rPr>
          <w:rFonts w:ascii="Arial" w:eastAsia="Arial" w:hAnsi="Arial" w:cs="Arial"/>
          <w:sz w:val="22"/>
          <w:szCs w:val="22"/>
        </w:rPr>
        <w:t>-</w:t>
      </w:r>
      <w:r>
        <w:rPr>
          <w:rFonts w:ascii="Arial" w:eastAsia="Arial" w:hAnsi="Arial" w:cs="Arial"/>
          <w:sz w:val="22"/>
          <w:szCs w:val="22"/>
        </w:rPr>
        <w:t xml:space="preserve"> a configurable buffer, maximum carton weight, and a fill-percentage cap above an item-count threshold </w:t>
      </w:r>
      <w:r w:rsidR="003E0A92">
        <w:rPr>
          <w:rFonts w:ascii="Arial" w:eastAsia="Arial" w:hAnsi="Arial" w:cs="Arial"/>
          <w:sz w:val="22"/>
          <w:szCs w:val="22"/>
        </w:rPr>
        <w:t>-</w:t>
      </w:r>
      <w:r>
        <w:rPr>
          <w:rFonts w:ascii="Arial" w:eastAsia="Arial" w:hAnsi="Arial" w:cs="Arial"/>
          <w:sz w:val="22"/>
          <w:szCs w:val="22"/>
        </w:rPr>
        <w:t xml:space="preserve"> were locked down before any placement logic was written, so both implementations could be built against the same specification.</w:t>
      </w:r>
    </w:p>
    <w:p w14:paraId="1FA71BD7" w14:textId="77777777" w:rsidR="00FD4E7B" w:rsidRDefault="00000000">
      <w:pPr>
        <w:pStyle w:val="Heading2"/>
        <w:spacing w:before="360" w:after="200"/>
      </w:pPr>
      <w:r>
        <w:rPr>
          <w:rFonts w:ascii="Arial" w:eastAsia="Arial" w:hAnsi="Arial" w:cs="Arial"/>
          <w:b/>
          <w:bCs/>
          <w:color w:val="1A1A1A"/>
        </w:rPr>
        <w:t>Reference benchmark and metrics</w:t>
      </w:r>
    </w:p>
    <w:p w14:paraId="68E3B975" w14:textId="77777777" w:rsidR="00FD4E7B" w:rsidRDefault="00000000">
      <w:pPr>
        <w:spacing w:after="200" w:line="480" w:lineRule="auto"/>
        <w:jc w:val="both"/>
      </w:pPr>
      <w:r>
        <w:rPr>
          <w:rFonts w:ascii="Arial" w:eastAsia="Arial" w:hAnsi="Arial" w:cs="Arial"/>
          <w:sz w:val="22"/>
          <w:szCs w:val="22"/>
        </w:rPr>
        <w:t>The 2,000 historical iHub records (Section 6.1) serve as the reference benchmark. Every solver run is scored on the same fixed metrics: carton count, carton-type mix, volumetric utilisation, feasibility violations via the independent validator, and runtime (median, 95th-percentile, maximum). That's what "compare with the reference data" means throughout this report.</w:t>
      </w:r>
    </w:p>
    <w:p w14:paraId="034E99BF" w14:textId="77777777" w:rsidR="00FD4E7B" w:rsidRDefault="00000000">
      <w:pPr>
        <w:pStyle w:val="Heading2"/>
        <w:spacing w:before="360" w:after="200"/>
      </w:pPr>
      <w:r>
        <w:rPr>
          <w:rFonts w:ascii="Arial" w:eastAsia="Arial" w:hAnsi="Arial" w:cs="Arial"/>
          <w:b/>
          <w:bCs/>
          <w:color w:val="1A1A1A"/>
        </w:rPr>
        <w:t>Volumetric planner as baseline</w:t>
      </w:r>
    </w:p>
    <w:p w14:paraId="796CD880" w14:textId="6463CFA6" w:rsidR="00FD4E7B" w:rsidRDefault="00000000">
      <w:pPr>
        <w:spacing w:after="200" w:line="480" w:lineRule="auto"/>
        <w:jc w:val="both"/>
      </w:pPr>
      <w:r>
        <w:rPr>
          <w:rFonts w:ascii="Arial" w:eastAsia="Arial" w:hAnsi="Arial" w:cs="Arial"/>
          <w:sz w:val="22"/>
          <w:szCs w:val="22"/>
        </w:rPr>
        <w:t>Before any 3D geometry is attempted, both implementations run a cheap volumetric pre-check: a candidate box is eliminated right away if the order's total item volume or weight already exceeds what that box could ever hold. As the team's shared repository puts it: "total volume and weight can eliminate cartons that are definitely impossible, but they cannot prove that items physically fit" (</w:t>
      </w:r>
      <w:proofErr w:type="spellStart"/>
      <w:r>
        <w:rPr>
          <w:rFonts w:ascii="Arial" w:eastAsia="Arial" w:hAnsi="Arial" w:cs="Arial"/>
          <w:sz w:val="22"/>
          <w:szCs w:val="22"/>
        </w:rPr>
        <w:t>Voycepeh</w:t>
      </w:r>
      <w:proofErr w:type="spellEnd"/>
      <w:r>
        <w:rPr>
          <w:rFonts w:ascii="Arial" w:eastAsia="Arial" w:hAnsi="Arial" w:cs="Arial"/>
          <w:sz w:val="22"/>
          <w:szCs w:val="22"/>
        </w:rPr>
        <w:t xml:space="preserve">, 2026). It's fast and correctly rules out hopeless boxes, but passing it isn't proof a box works </w:t>
      </w:r>
      <w:r w:rsidR="003E0A92">
        <w:rPr>
          <w:rFonts w:ascii="Arial" w:eastAsia="Arial" w:hAnsi="Arial" w:cs="Arial"/>
          <w:sz w:val="22"/>
          <w:szCs w:val="22"/>
        </w:rPr>
        <w:t>-</w:t>
      </w:r>
      <w:r>
        <w:rPr>
          <w:rFonts w:ascii="Arial" w:eastAsia="Arial" w:hAnsi="Arial" w:cs="Arial"/>
          <w:sz w:val="22"/>
          <w:szCs w:val="22"/>
        </w:rPr>
        <w:t xml:space="preserve"> a baseline, not the solver itself.</w:t>
      </w:r>
    </w:p>
    <w:p w14:paraId="5FBA9578" w14:textId="77777777" w:rsidR="00FD4E7B" w:rsidRDefault="00000000">
      <w:pPr>
        <w:pStyle w:val="Heading2"/>
        <w:spacing w:before="360" w:after="200"/>
      </w:pPr>
      <w:r>
        <w:rPr>
          <w:rFonts w:ascii="Arial" w:eastAsia="Arial" w:hAnsi="Arial" w:cs="Arial"/>
          <w:b/>
          <w:bCs/>
          <w:color w:val="1A1A1A"/>
        </w:rPr>
        <w:lastRenderedPageBreak/>
        <w:t>3D extreme-point engine</w:t>
      </w:r>
    </w:p>
    <w:p w14:paraId="14050DD0" w14:textId="77777777" w:rsidR="00FD4E7B" w:rsidRDefault="00000000">
      <w:pPr>
        <w:spacing w:after="200" w:line="480" w:lineRule="auto"/>
        <w:jc w:val="both"/>
      </w:pPr>
      <w:r>
        <w:rPr>
          <w:rFonts w:ascii="Arial" w:eastAsia="Arial" w:hAnsi="Arial" w:cs="Arial"/>
          <w:sz w:val="22"/>
          <w:szCs w:val="22"/>
        </w:rPr>
        <w:t>Boxes that survive the volumetric baseline are tested with real geometry, using extreme-point placement (</w:t>
      </w:r>
      <w:proofErr w:type="spellStart"/>
      <w:r>
        <w:rPr>
          <w:rFonts w:ascii="Arial" w:eastAsia="Arial" w:hAnsi="Arial" w:cs="Arial"/>
          <w:sz w:val="22"/>
          <w:szCs w:val="22"/>
        </w:rPr>
        <w:t>Crainic</w:t>
      </w:r>
      <w:proofErr w:type="spellEnd"/>
      <w:r>
        <w:rPr>
          <w:rFonts w:ascii="Arial" w:eastAsia="Arial" w:hAnsi="Arial" w:cs="Arial"/>
          <w:sz w:val="22"/>
          <w:szCs w:val="22"/>
        </w:rPr>
        <w:t xml:space="preserve"> et al., 2008):</w:t>
      </w:r>
    </w:p>
    <w:p w14:paraId="20EFA9A6" w14:textId="77777777" w:rsidR="00FD4E7B" w:rsidRDefault="00000000">
      <w:pPr>
        <w:pStyle w:val="ListParagraph"/>
        <w:numPr>
          <w:ilvl w:val="0"/>
          <w:numId w:val="2"/>
        </w:numPr>
        <w:spacing w:after="100" w:line="480" w:lineRule="auto"/>
      </w:pPr>
      <w:r>
        <w:rPr>
          <w:rFonts w:ascii="Arial" w:eastAsia="Arial" w:hAnsi="Arial" w:cs="Arial"/>
          <w:sz w:val="22"/>
          <w:szCs w:val="22"/>
        </w:rPr>
        <w:t>Expand each order line's Quantity field into individual physical units.</w:t>
      </w:r>
    </w:p>
    <w:p w14:paraId="254C0AEA" w14:textId="77777777" w:rsidR="00FD4E7B" w:rsidRDefault="00000000">
      <w:pPr>
        <w:pStyle w:val="ListParagraph"/>
        <w:numPr>
          <w:ilvl w:val="0"/>
          <w:numId w:val="2"/>
        </w:numPr>
        <w:spacing w:after="100" w:line="480" w:lineRule="auto"/>
      </w:pPr>
      <w:r>
        <w:rPr>
          <w:rFonts w:ascii="Arial" w:eastAsia="Arial" w:hAnsi="Arial" w:cs="Arial"/>
          <w:sz w:val="22"/>
          <w:szCs w:val="22"/>
        </w:rPr>
        <w:t>Filter out any unit that cannot fit any catalogue box in any permitted orientation, flagging it as unpacked with a stated reason.</w:t>
      </w:r>
    </w:p>
    <w:p w14:paraId="714B8307" w14:textId="77777777" w:rsidR="00FD4E7B" w:rsidRDefault="00000000">
      <w:pPr>
        <w:pStyle w:val="ListParagraph"/>
        <w:numPr>
          <w:ilvl w:val="0"/>
          <w:numId w:val="2"/>
        </w:numPr>
        <w:spacing w:after="100" w:line="480" w:lineRule="auto"/>
      </w:pPr>
      <w:r>
        <w:rPr>
          <w:rFonts w:ascii="Arial" w:eastAsia="Arial" w:hAnsi="Arial" w:cs="Arial"/>
          <w:sz w:val="22"/>
          <w:szCs w:val="22"/>
        </w:rPr>
        <w:t>For each candidate box, attempt placement using extreme-point candidate positions, trying four item orderings (by volume, longest dimension, largest face, and upright-first) combined with four placement policies, stopping at the first combination that places every remaining item.</w:t>
      </w:r>
    </w:p>
    <w:p w14:paraId="78EEA371" w14:textId="3C198083" w:rsidR="00FD4E7B" w:rsidRDefault="00000000">
      <w:pPr>
        <w:pStyle w:val="ListParagraph"/>
        <w:numPr>
          <w:ilvl w:val="0"/>
          <w:numId w:val="2"/>
        </w:numPr>
        <w:spacing w:after="100" w:line="480" w:lineRule="auto"/>
      </w:pPr>
      <w:r>
        <w:rPr>
          <w:rFonts w:ascii="Arial" w:eastAsia="Arial" w:hAnsi="Arial" w:cs="Arial"/>
          <w:sz w:val="22"/>
          <w:szCs w:val="22"/>
        </w:rPr>
        <w:t xml:space="preserve">Select a box via a bin-selection rule </w:t>
      </w:r>
      <w:r w:rsidR="003E0A92">
        <w:rPr>
          <w:rFonts w:ascii="Arial" w:eastAsia="Arial" w:hAnsi="Arial" w:cs="Arial"/>
          <w:sz w:val="22"/>
          <w:szCs w:val="22"/>
        </w:rPr>
        <w:t>-</w:t>
      </w:r>
      <w:r>
        <w:rPr>
          <w:rFonts w:ascii="Arial" w:eastAsia="Arial" w:hAnsi="Arial" w:cs="Arial"/>
          <w:sz w:val="22"/>
          <w:szCs w:val="22"/>
        </w:rPr>
        <w:t xml:space="preserve"> First Fit (smallest box that holds everything) or Best Fit (box left fullest) </w:t>
      </w:r>
      <w:r w:rsidR="003E0A92">
        <w:rPr>
          <w:rFonts w:ascii="Arial" w:eastAsia="Arial" w:hAnsi="Arial" w:cs="Arial"/>
          <w:sz w:val="22"/>
          <w:szCs w:val="22"/>
        </w:rPr>
        <w:t>-</w:t>
      </w:r>
      <w:r>
        <w:rPr>
          <w:rFonts w:ascii="Arial" w:eastAsia="Arial" w:hAnsi="Arial" w:cs="Arial"/>
          <w:sz w:val="22"/>
          <w:szCs w:val="22"/>
        </w:rPr>
        <w:t xml:space="preserve"> among boxes proven to hold the complete remaining set.</w:t>
      </w:r>
    </w:p>
    <w:p w14:paraId="760128A6" w14:textId="77777777" w:rsidR="00FD4E7B" w:rsidRDefault="00000000">
      <w:pPr>
        <w:pStyle w:val="ListParagraph"/>
        <w:numPr>
          <w:ilvl w:val="0"/>
          <w:numId w:val="2"/>
        </w:numPr>
        <w:spacing w:after="100" w:line="480" w:lineRule="auto"/>
      </w:pPr>
      <w:r>
        <w:rPr>
          <w:rFonts w:ascii="Arial" w:eastAsia="Arial" w:hAnsi="Arial" w:cs="Arial"/>
          <w:sz w:val="22"/>
          <w:szCs w:val="22"/>
        </w:rPr>
        <w:t>When no single box holds everything, branch on the most promising boxes and recurse on the leftover items, keeping whichever full plan uses the fewest cartons, then the least total carton volume.</w:t>
      </w:r>
    </w:p>
    <w:p w14:paraId="3FDEC16C" w14:textId="2B55B032" w:rsidR="00CE05DD" w:rsidRDefault="00CE05DD" w:rsidP="00CE05DD">
      <w:pPr>
        <w:pStyle w:val="NormalWeb"/>
        <w:ind w:left="720"/>
      </w:pPr>
      <w:r>
        <w:lastRenderedPageBreak/>
        <w:t xml:space="preserve">                  </w:t>
      </w:r>
      <w:r>
        <w:rPr>
          <w:noProof/>
        </w:rPr>
        <w:drawing>
          <wp:inline distT="0" distB="0" distL="0" distR="0" wp14:anchorId="518A40A4" wp14:editId="1155410A">
            <wp:extent cx="3794443" cy="3911600"/>
            <wp:effectExtent l="0" t="0" r="0" b="0"/>
            <wp:docPr id="1392200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00275" cy="3917613"/>
                    </a:xfrm>
                    <a:prstGeom prst="rect">
                      <a:avLst/>
                    </a:prstGeom>
                    <a:noFill/>
                    <a:ln>
                      <a:noFill/>
                    </a:ln>
                  </pic:spPr>
                </pic:pic>
              </a:graphicData>
            </a:graphic>
          </wp:inline>
        </w:drawing>
      </w:r>
    </w:p>
    <w:p w14:paraId="14E595C2" w14:textId="77777777" w:rsidR="00CE05DD" w:rsidRPr="00CE05DD" w:rsidRDefault="00CE05DD">
      <w:pPr>
        <w:spacing w:before="80" w:after="240"/>
        <w:jc w:val="center"/>
        <w:rPr>
          <w:rFonts w:ascii="Arial" w:eastAsia="Arial" w:hAnsi="Arial" w:cs="Arial"/>
          <w:b/>
          <w:bCs/>
          <w:i/>
          <w:iCs/>
          <w:sz w:val="19"/>
          <w:szCs w:val="19"/>
        </w:rPr>
      </w:pPr>
    </w:p>
    <w:p w14:paraId="33F656D1" w14:textId="68C97DA2" w:rsidR="00FD4E7B" w:rsidRDefault="00000000">
      <w:pPr>
        <w:spacing w:before="80" w:after="240"/>
        <w:jc w:val="center"/>
      </w:pPr>
      <w:r>
        <w:rPr>
          <w:rFonts w:ascii="Arial" w:eastAsia="Arial" w:hAnsi="Arial" w:cs="Arial"/>
          <w:i/>
          <w:iCs/>
          <w:sz w:val="19"/>
          <w:szCs w:val="19"/>
        </w:rPr>
        <w:t>Figure 1. Extreme-point placement: each placed item exposes new candidate points for the next item.</w:t>
      </w:r>
    </w:p>
    <w:p w14:paraId="0C6D5F94" w14:textId="77777777" w:rsidR="00FD4E7B" w:rsidRDefault="00000000">
      <w:pPr>
        <w:pStyle w:val="Heading2"/>
        <w:spacing w:before="360" w:after="200"/>
      </w:pPr>
      <w:r>
        <w:rPr>
          <w:rFonts w:ascii="Arial" w:eastAsia="Arial" w:hAnsi="Arial" w:cs="Arial"/>
          <w:b/>
          <w:bCs/>
          <w:color w:val="1A1A1A"/>
        </w:rPr>
        <w:t>Physical realism: the support rule</w:t>
      </w:r>
    </w:p>
    <w:p w14:paraId="5AF86776" w14:textId="56B53901" w:rsidR="00FD4E7B" w:rsidRDefault="00000000">
      <w:pPr>
        <w:spacing w:after="200" w:line="480" w:lineRule="auto"/>
        <w:jc w:val="both"/>
      </w:pPr>
      <w:r>
        <w:rPr>
          <w:rFonts w:ascii="Arial" w:eastAsia="Arial" w:hAnsi="Arial" w:cs="Arial"/>
          <w:sz w:val="22"/>
          <w:szCs w:val="22"/>
        </w:rPr>
        <w:t xml:space="preserve">A placement that satisfies bounds and non-overlap alone can still look physically wrong </w:t>
      </w:r>
      <w:r w:rsidR="003E0A92">
        <w:rPr>
          <w:rFonts w:ascii="Arial" w:eastAsia="Arial" w:hAnsi="Arial" w:cs="Arial"/>
          <w:sz w:val="22"/>
          <w:szCs w:val="22"/>
        </w:rPr>
        <w:t>-</w:t>
      </w:r>
      <w:r>
        <w:rPr>
          <w:rFonts w:ascii="Arial" w:eastAsia="Arial" w:hAnsi="Arial" w:cs="Arial"/>
          <w:sz w:val="22"/>
          <w:szCs w:val="22"/>
        </w:rPr>
        <w:t xml:space="preserve"> an item resting only on a corner, most of its base floating over empty space. The author's standalone engine adds a minimum-support check: an item above floor level must have at least 80% of its base (by default) </w:t>
      </w:r>
      <w:proofErr w:type="gramStart"/>
      <w:r>
        <w:rPr>
          <w:rFonts w:ascii="Arial" w:eastAsia="Arial" w:hAnsi="Arial" w:cs="Arial"/>
          <w:sz w:val="22"/>
          <w:szCs w:val="22"/>
        </w:rPr>
        <w:t>actually resting</w:t>
      </w:r>
      <w:proofErr w:type="gramEnd"/>
      <w:r>
        <w:rPr>
          <w:rFonts w:ascii="Arial" w:eastAsia="Arial" w:hAnsi="Arial" w:cs="Arial"/>
          <w:sz w:val="22"/>
          <w:szCs w:val="22"/>
        </w:rPr>
        <w:t xml:space="preserve"> on the item below it, not just avoiding collision. This check isn't currently part of the shared repository's validator </w:t>
      </w:r>
      <w:r w:rsidR="003E0A92">
        <w:rPr>
          <w:rFonts w:ascii="Arial" w:eastAsia="Arial" w:hAnsi="Arial" w:cs="Arial"/>
          <w:sz w:val="22"/>
          <w:szCs w:val="22"/>
        </w:rPr>
        <w:t>-</w:t>
      </w:r>
      <w:r>
        <w:rPr>
          <w:rFonts w:ascii="Arial" w:eastAsia="Arial" w:hAnsi="Arial" w:cs="Arial"/>
          <w:sz w:val="22"/>
          <w:szCs w:val="22"/>
        </w:rPr>
        <w:t xml:space="preserve"> its published constraint-validation table lists bounds, non-overlap, orientation, weight, fill, and completeness, but not support. Flagged here as a known </w:t>
      </w:r>
      <w:proofErr w:type="gramStart"/>
      <w:r>
        <w:rPr>
          <w:rFonts w:ascii="Arial" w:eastAsia="Arial" w:hAnsi="Arial" w:cs="Arial"/>
          <w:sz w:val="22"/>
          <w:szCs w:val="22"/>
        </w:rPr>
        <w:t>gap, and</w:t>
      </w:r>
      <w:proofErr w:type="gramEnd"/>
      <w:r>
        <w:rPr>
          <w:rFonts w:ascii="Arial" w:eastAsia="Arial" w:hAnsi="Arial" w:cs="Arial"/>
          <w:sz w:val="22"/>
          <w:szCs w:val="22"/>
        </w:rPr>
        <w:t xml:space="preserve"> listed as a limitation below.</w:t>
      </w:r>
    </w:p>
    <w:p w14:paraId="06A60AA3" w14:textId="77777777" w:rsidR="00FD4E7B" w:rsidRDefault="00000000">
      <w:pPr>
        <w:pStyle w:val="Heading2"/>
        <w:spacing w:before="360" w:after="200"/>
      </w:pPr>
      <w:r>
        <w:rPr>
          <w:rFonts w:ascii="Arial" w:eastAsia="Arial" w:hAnsi="Arial" w:cs="Arial"/>
          <w:b/>
          <w:bCs/>
          <w:color w:val="1A1A1A"/>
        </w:rPr>
        <w:t>Validation harness and regression tests</w:t>
      </w:r>
    </w:p>
    <w:p w14:paraId="2AF2D0DB" w14:textId="77777777" w:rsidR="00FD4E7B" w:rsidRDefault="00000000">
      <w:pPr>
        <w:spacing w:after="200" w:line="480" w:lineRule="auto"/>
        <w:jc w:val="both"/>
      </w:pPr>
      <w:r>
        <w:rPr>
          <w:rFonts w:ascii="Arial" w:eastAsia="Arial" w:hAnsi="Arial" w:cs="Arial"/>
          <w:sz w:val="22"/>
          <w:szCs w:val="22"/>
        </w:rPr>
        <w:lastRenderedPageBreak/>
        <w:t>Every packing result is re-checked by a validator independent of the placement logic that produced it: bounds, overlap, the support rule above, upright-orientation compliance, weight limits, and the fill-percentage rule. The author's engine also runs an item-order-sensitivity regression check (Section 6.3); the shared repository maintains its own unit-test suite covering rules, geometry, and validation, run in continuous integration (Pull Requests #9, #10, #14).</w:t>
      </w:r>
    </w:p>
    <w:p w14:paraId="40431988" w14:textId="443D7147" w:rsidR="00FD4E7B" w:rsidRDefault="00000000">
      <w:pPr>
        <w:spacing w:after="200" w:line="480" w:lineRule="auto"/>
        <w:jc w:val="both"/>
      </w:pPr>
      <w:r>
        <w:rPr>
          <w:rFonts w:ascii="Arial" w:eastAsia="Arial" w:hAnsi="Arial" w:cs="Arial"/>
          <w:sz w:val="22"/>
          <w:szCs w:val="22"/>
        </w:rPr>
        <w:t>This methodology was built twice in parallel, which worked out as a cross-check rather than wasted effort. The author built two standalone Python modules, packer_first_fit.py and packer_best_fit.py, sharing the same placement engine and differing only in the bin-selection rule. Separately, the team's shared repository built a pluggable package (</w:t>
      </w:r>
      <w:proofErr w:type="spellStart"/>
      <w:r>
        <w:rPr>
          <w:rFonts w:ascii="Arial" w:eastAsia="Arial" w:hAnsi="Arial" w:cs="Arial"/>
          <w:sz w:val="22"/>
          <w:szCs w:val="22"/>
        </w:rPr>
        <w:t>src</w:t>
      </w:r>
      <w:proofErr w:type="spellEnd"/>
      <w:r>
        <w:rPr>
          <w:rFonts w:ascii="Arial" w:eastAsia="Arial" w:hAnsi="Arial" w:cs="Arial"/>
          <w:sz w:val="22"/>
          <w:szCs w:val="22"/>
        </w:rPr>
        <w:t xml:space="preserve">/bin_packing_3d) behind a single </w:t>
      </w:r>
      <w:proofErr w:type="spellStart"/>
      <w:r>
        <w:rPr>
          <w:rFonts w:ascii="Arial" w:eastAsia="Arial" w:hAnsi="Arial" w:cs="Arial"/>
          <w:sz w:val="22"/>
          <w:szCs w:val="22"/>
        </w:rPr>
        <w:t>solve_</w:t>
      </w:r>
      <w:proofErr w:type="gramStart"/>
      <w:r>
        <w:rPr>
          <w:rFonts w:ascii="Arial" w:eastAsia="Arial" w:hAnsi="Arial" w:cs="Arial"/>
          <w:sz w:val="22"/>
          <w:szCs w:val="22"/>
        </w:rPr>
        <w:t>order</w:t>
      </w:r>
      <w:proofErr w:type="spellEnd"/>
      <w:r>
        <w:rPr>
          <w:rFonts w:ascii="Arial" w:eastAsia="Arial" w:hAnsi="Arial" w:cs="Arial"/>
          <w:sz w:val="22"/>
          <w:szCs w:val="22"/>
        </w:rPr>
        <w:t>(</w:t>
      </w:r>
      <w:proofErr w:type="gramEnd"/>
      <w:r>
        <w:rPr>
          <w:rFonts w:ascii="Arial" w:eastAsia="Arial" w:hAnsi="Arial" w:cs="Arial"/>
          <w:sz w:val="22"/>
          <w:szCs w:val="22"/>
        </w:rPr>
        <w:t xml:space="preserve">) API exposing the same two modes </w:t>
      </w:r>
      <w:r w:rsidR="003E0A92">
        <w:rPr>
          <w:rFonts w:ascii="Arial" w:eastAsia="Arial" w:hAnsi="Arial" w:cs="Arial"/>
          <w:sz w:val="22"/>
          <w:szCs w:val="22"/>
        </w:rPr>
        <w:t>-</w:t>
      </w:r>
      <w:r>
        <w:rPr>
          <w:rFonts w:ascii="Arial" w:eastAsia="Arial" w:hAnsi="Arial" w:cs="Arial"/>
          <w:sz w:val="22"/>
          <w:szCs w:val="22"/>
        </w:rPr>
        <w:t xml:space="preserve"> Fast for speed, </w:t>
      </w:r>
      <w:proofErr w:type="gramStart"/>
      <w:r>
        <w:rPr>
          <w:rFonts w:ascii="Arial" w:eastAsia="Arial" w:hAnsi="Arial" w:cs="Arial"/>
          <w:sz w:val="22"/>
          <w:szCs w:val="22"/>
        </w:rPr>
        <w:t>Best</w:t>
      </w:r>
      <w:proofErr w:type="gramEnd"/>
      <w:r>
        <w:rPr>
          <w:rFonts w:ascii="Arial" w:eastAsia="Arial" w:hAnsi="Arial" w:cs="Arial"/>
          <w:sz w:val="22"/>
          <w:szCs w:val="22"/>
        </w:rPr>
        <w:t xml:space="preserve"> for comparing choices more carefully (Pull Requests #6–#10). Two independently written implementations agreeing (Section 6.3) is stronger evidence than either alone.</w:t>
      </w:r>
    </w:p>
    <w:p w14:paraId="6937442E" w14:textId="77777777" w:rsidR="00FD4E7B" w:rsidRDefault="00000000">
      <w:pPr>
        <w:pStyle w:val="Heading2"/>
        <w:spacing w:before="360" w:after="200"/>
      </w:pPr>
      <w:r>
        <w:rPr>
          <w:rFonts w:ascii="Arial" w:eastAsia="Arial" w:hAnsi="Arial" w:cs="Arial"/>
          <w:b/>
          <w:bCs/>
          <w:color w:val="1A1A1A"/>
        </w:rPr>
        <w:t>6.3 Analysis and Results</w:t>
      </w:r>
    </w:p>
    <w:p w14:paraId="083F8762" w14:textId="77777777" w:rsidR="00FD4E7B" w:rsidRDefault="00000000">
      <w:pPr>
        <w:spacing w:after="200" w:line="480" w:lineRule="auto"/>
        <w:jc w:val="both"/>
      </w:pPr>
      <w:r>
        <w:rPr>
          <w:rFonts w:ascii="Arial" w:eastAsia="Arial" w:hAnsi="Arial" w:cs="Arial"/>
          <w:sz w:val="22"/>
          <w:szCs w:val="22"/>
        </w:rPr>
        <w:t>The author's standalone engine was run against the full 2,000-order dataset for both the First Fit and Best Fit variants. All 2,000 orders packed successfully with zero feasibility violations under the independent validator in both runs. Table 2 summarises the comparison against the historical benchmark.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4E7B" w14:paraId="2BFEB8BA" w14:textId="77777777">
        <w:tblPrEx>
          <w:tblCellMar>
            <w:top w:w="0" w:type="dxa"/>
            <w:bottom w:w="0" w:type="dxa"/>
          </w:tblCellMar>
        </w:tblPrEx>
        <w:tc>
          <w:tcPr>
            <w:tcW w:w="9350" w:type="dxa"/>
            <w:tcBorders>
              <w:top w:val="dashed" w:sz="6" w:space="0" w:color="999999"/>
              <w:left w:val="dashed" w:sz="6" w:space="0" w:color="999999"/>
              <w:bottom w:val="dashed" w:sz="6" w:space="0" w:color="999999"/>
              <w:right w:val="dashed" w:sz="6" w:space="0" w:color="999999"/>
            </w:tcBorders>
            <w:shd w:val="clear" w:color="auto" w:fill="F7F6F2"/>
            <w:tcMar>
              <w:top w:w="200" w:type="dxa"/>
              <w:left w:w="200" w:type="dxa"/>
              <w:bottom w:w="200" w:type="dxa"/>
              <w:right w:w="200" w:type="dxa"/>
            </w:tcMar>
          </w:tcPr>
          <w:p w14:paraId="083978F2" w14:textId="2DA73458" w:rsidR="00FD4E7B" w:rsidRDefault="00000000">
            <w:pPr>
              <w:spacing w:before="90"/>
              <w:jc w:val="center"/>
            </w:pPr>
            <w:r>
              <w:rPr>
                <w:rFonts w:ascii="Arial" w:eastAsia="Arial" w:hAnsi="Arial" w:cs="Arial"/>
                <w:b/>
                <w:bCs/>
                <w:color w:val="666666"/>
              </w:rPr>
              <w:t xml:space="preserve">[ Table 2 </w:t>
            </w:r>
            <w:r w:rsidR="003E0A92">
              <w:rPr>
                <w:rFonts w:ascii="Arial" w:eastAsia="Arial" w:hAnsi="Arial" w:cs="Arial"/>
                <w:b/>
                <w:bCs/>
                <w:color w:val="666666"/>
              </w:rPr>
              <w:t>-</w:t>
            </w:r>
            <w:r>
              <w:rPr>
                <w:rFonts w:ascii="Arial" w:eastAsia="Arial" w:hAnsi="Arial" w:cs="Arial"/>
                <w:b/>
                <w:bCs/>
                <w:color w:val="666666"/>
              </w:rPr>
              <w:t xml:space="preserve"> insert </w:t>
            </w:r>
            <w:proofErr w:type="gramStart"/>
            <w:r>
              <w:rPr>
                <w:rFonts w:ascii="Arial" w:eastAsia="Arial" w:hAnsi="Arial" w:cs="Arial"/>
                <w:b/>
                <w:bCs/>
                <w:color w:val="666666"/>
              </w:rPr>
              <w:t>here ]</w:t>
            </w:r>
            <w:proofErr w:type="gramEnd"/>
          </w:p>
          <w:p w14:paraId="1FE19430" w14:textId="151410D4" w:rsidR="00FD4E7B" w:rsidRDefault="00000000">
            <w:pPr>
              <w:spacing w:before="60" w:after="90"/>
              <w:jc w:val="center"/>
            </w:pPr>
            <w:r>
              <w:rPr>
                <w:rFonts w:ascii="Arial" w:eastAsia="Arial" w:hAnsi="Arial" w:cs="Arial"/>
                <w:i/>
                <w:iCs/>
                <w:color w:val="888888"/>
                <w:sz w:val="19"/>
                <w:szCs w:val="19"/>
              </w:rPr>
              <w:t xml:space="preserve">Full-dataset (2,000-order) results </w:t>
            </w:r>
            <w:r w:rsidR="003E0A92">
              <w:rPr>
                <w:rFonts w:ascii="Arial" w:eastAsia="Arial" w:hAnsi="Arial" w:cs="Arial"/>
                <w:i/>
                <w:iCs/>
                <w:color w:val="888888"/>
                <w:sz w:val="19"/>
                <w:szCs w:val="19"/>
              </w:rPr>
              <w:t>-</w:t>
            </w:r>
            <w:r>
              <w:rPr>
                <w:rFonts w:ascii="Arial" w:eastAsia="Arial" w:hAnsi="Arial" w:cs="Arial"/>
                <w:i/>
                <w:iCs/>
                <w:color w:val="888888"/>
                <w:sz w:val="19"/>
                <w:szCs w:val="19"/>
              </w:rPr>
              <w:t xml:space="preserve"> orders packed, violations, cartons used, carton-count/mix match, utilisation, runtime (median/P95/max) </w:t>
            </w:r>
            <w:r w:rsidR="003E0A92">
              <w:rPr>
                <w:rFonts w:ascii="Arial" w:eastAsia="Arial" w:hAnsi="Arial" w:cs="Arial"/>
                <w:i/>
                <w:iCs/>
                <w:color w:val="888888"/>
                <w:sz w:val="19"/>
                <w:szCs w:val="19"/>
              </w:rPr>
              <w:t>-</w:t>
            </w:r>
            <w:r>
              <w:rPr>
                <w:rFonts w:ascii="Arial" w:eastAsia="Arial" w:hAnsi="Arial" w:cs="Arial"/>
                <w:i/>
                <w:iCs/>
                <w:color w:val="888888"/>
                <w:sz w:val="19"/>
                <w:szCs w:val="19"/>
              </w:rPr>
              <w:t xml:space="preserve"> First Fit vs. Best Fit vs. Historical</w:t>
            </w:r>
          </w:p>
        </w:tc>
      </w:tr>
    </w:tbl>
    <w:p w14:paraId="66016F64" w14:textId="77777777" w:rsidR="00FD4E7B" w:rsidRDefault="00000000">
      <w:pPr>
        <w:spacing w:before="80" w:after="240"/>
        <w:jc w:val="center"/>
      </w:pPr>
      <w:r>
        <w:rPr>
          <w:rFonts w:ascii="Arial" w:eastAsia="Arial" w:hAnsi="Arial" w:cs="Arial"/>
          <w:i/>
          <w:iCs/>
          <w:sz w:val="19"/>
          <w:szCs w:val="19"/>
        </w:rPr>
        <w:t>Table 2. Full-dataset (2,000-order) results, author's standalone engine vs. historical benchmark.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4E7B" w14:paraId="7A03DE97" w14:textId="77777777">
        <w:tblPrEx>
          <w:tblCellMar>
            <w:top w:w="0" w:type="dxa"/>
            <w:bottom w:w="0" w:type="dxa"/>
          </w:tblCellMar>
        </w:tblPrEx>
        <w:tc>
          <w:tcPr>
            <w:tcW w:w="9350" w:type="dxa"/>
            <w:tcBorders>
              <w:top w:val="dashed" w:sz="6" w:space="0" w:color="999999"/>
              <w:left w:val="dashed" w:sz="6" w:space="0" w:color="999999"/>
              <w:bottom w:val="dashed" w:sz="6" w:space="0" w:color="999999"/>
              <w:right w:val="dashed" w:sz="6" w:space="0" w:color="999999"/>
            </w:tcBorders>
            <w:shd w:val="clear" w:color="auto" w:fill="F7F6F2"/>
            <w:tcMar>
              <w:top w:w="200" w:type="dxa"/>
              <w:left w:w="200" w:type="dxa"/>
              <w:bottom w:w="200" w:type="dxa"/>
              <w:right w:w="200" w:type="dxa"/>
            </w:tcMar>
          </w:tcPr>
          <w:p w14:paraId="601B3587" w14:textId="62AA644B" w:rsidR="00FD4E7B" w:rsidRDefault="00000000">
            <w:pPr>
              <w:spacing w:before="67"/>
              <w:jc w:val="center"/>
            </w:pPr>
            <w:r>
              <w:rPr>
                <w:rFonts w:ascii="Arial" w:eastAsia="Arial" w:hAnsi="Arial" w:cs="Arial"/>
                <w:b/>
                <w:bCs/>
                <w:color w:val="666666"/>
              </w:rPr>
              <w:t xml:space="preserve">[ Figure 2 </w:t>
            </w:r>
            <w:r w:rsidR="003E0A92">
              <w:rPr>
                <w:rFonts w:ascii="Arial" w:eastAsia="Arial" w:hAnsi="Arial" w:cs="Arial"/>
                <w:b/>
                <w:bCs/>
                <w:color w:val="666666"/>
              </w:rPr>
              <w:t>-</w:t>
            </w:r>
            <w:r>
              <w:rPr>
                <w:rFonts w:ascii="Arial" w:eastAsia="Arial" w:hAnsi="Arial" w:cs="Arial"/>
                <w:b/>
                <w:bCs/>
                <w:color w:val="666666"/>
              </w:rPr>
              <w:t xml:space="preserve"> insert </w:t>
            </w:r>
            <w:proofErr w:type="gramStart"/>
            <w:r>
              <w:rPr>
                <w:rFonts w:ascii="Arial" w:eastAsia="Arial" w:hAnsi="Arial" w:cs="Arial"/>
                <w:b/>
                <w:bCs/>
                <w:color w:val="666666"/>
              </w:rPr>
              <w:t>here ]</w:t>
            </w:r>
            <w:proofErr w:type="gramEnd"/>
          </w:p>
          <w:p w14:paraId="0EE172F5" w14:textId="6A352A5B" w:rsidR="00FD4E7B" w:rsidRDefault="00000000">
            <w:pPr>
              <w:spacing w:before="60" w:after="67"/>
              <w:jc w:val="center"/>
            </w:pPr>
            <w:r>
              <w:rPr>
                <w:rFonts w:ascii="Arial" w:eastAsia="Arial" w:hAnsi="Arial" w:cs="Arial"/>
                <w:i/>
                <w:iCs/>
                <w:color w:val="888888"/>
                <w:sz w:val="19"/>
                <w:szCs w:val="19"/>
              </w:rPr>
              <w:t xml:space="preserve">Total cartons used and average utilisation chart </w:t>
            </w:r>
            <w:r w:rsidR="003E0A92">
              <w:rPr>
                <w:rFonts w:ascii="Arial" w:eastAsia="Arial" w:hAnsi="Arial" w:cs="Arial"/>
                <w:i/>
                <w:iCs/>
                <w:color w:val="888888"/>
                <w:sz w:val="19"/>
                <w:szCs w:val="19"/>
              </w:rPr>
              <w:t>-</w:t>
            </w:r>
            <w:r>
              <w:rPr>
                <w:rFonts w:ascii="Arial" w:eastAsia="Arial" w:hAnsi="Arial" w:cs="Arial"/>
                <w:i/>
                <w:iCs/>
                <w:color w:val="888888"/>
                <w:sz w:val="19"/>
                <w:szCs w:val="19"/>
              </w:rPr>
              <w:t xml:space="preserve"> First Fit vs. Best Fit vs. Historical</w:t>
            </w:r>
          </w:p>
        </w:tc>
      </w:tr>
    </w:tbl>
    <w:p w14:paraId="017F52E7" w14:textId="77777777" w:rsidR="00FD4E7B" w:rsidRDefault="00000000">
      <w:pPr>
        <w:spacing w:before="80" w:after="240"/>
        <w:jc w:val="center"/>
      </w:pPr>
      <w:r>
        <w:rPr>
          <w:rFonts w:ascii="Arial" w:eastAsia="Arial" w:hAnsi="Arial" w:cs="Arial"/>
          <w:i/>
          <w:iCs/>
          <w:sz w:val="19"/>
          <w:szCs w:val="19"/>
        </w:rPr>
        <w:t>Figure 2. Total cartons used and average utilisation, First Fit vs. Best Fit vs. Historical (2,000 orders).</w:t>
      </w:r>
    </w:p>
    <w:p w14:paraId="0C9C07C4" w14:textId="3767633F" w:rsidR="00FD4E7B" w:rsidRDefault="00000000">
      <w:pPr>
        <w:spacing w:after="200" w:line="480" w:lineRule="auto"/>
        <w:jc w:val="both"/>
      </w:pPr>
      <w:r>
        <w:rPr>
          <w:rFonts w:ascii="Arial" w:eastAsia="Arial" w:hAnsi="Arial" w:cs="Arial"/>
          <w:sz w:val="22"/>
          <w:szCs w:val="22"/>
        </w:rPr>
        <w:lastRenderedPageBreak/>
        <w:t xml:space="preserve">One notable finding: First Fit and Best Fit produced identical results on every single one of the 2,000 orders. This isn't a </w:t>
      </w:r>
      <w:proofErr w:type="gramStart"/>
      <w:r>
        <w:rPr>
          <w:rFonts w:ascii="Arial" w:eastAsia="Arial" w:hAnsi="Arial" w:cs="Arial"/>
          <w:sz w:val="22"/>
          <w:szCs w:val="22"/>
        </w:rPr>
        <w:t>coincidence,</w:t>
      </w:r>
      <w:proofErr w:type="gramEnd"/>
      <w:r>
        <w:rPr>
          <w:rFonts w:ascii="Arial" w:eastAsia="Arial" w:hAnsi="Arial" w:cs="Arial"/>
          <w:sz w:val="22"/>
          <w:szCs w:val="22"/>
        </w:rPr>
        <w:t xml:space="preserve"> it's a mathematical consequence of the formulation. Both strategies only rank boxes already proven to hold the entire remaining item set, and for any such box the packed volume is fixed </w:t>
      </w:r>
      <w:r w:rsidR="003E0A92">
        <w:rPr>
          <w:rFonts w:ascii="Arial" w:eastAsia="Arial" w:hAnsi="Arial" w:cs="Arial"/>
          <w:sz w:val="22"/>
          <w:szCs w:val="22"/>
        </w:rPr>
        <w:t>-</w:t>
      </w:r>
      <w:r>
        <w:rPr>
          <w:rFonts w:ascii="Arial" w:eastAsia="Arial" w:hAnsi="Arial" w:cs="Arial"/>
          <w:sz w:val="22"/>
          <w:szCs w:val="22"/>
        </w:rPr>
        <w:t xml:space="preserve"> it's the whole remaining order </w:t>
      </w:r>
      <w:r w:rsidR="003E0A92">
        <w:rPr>
          <w:rFonts w:ascii="Arial" w:eastAsia="Arial" w:hAnsi="Arial" w:cs="Arial"/>
          <w:sz w:val="22"/>
          <w:szCs w:val="22"/>
        </w:rPr>
        <w:t>-</w:t>
      </w:r>
      <w:r>
        <w:rPr>
          <w:rFonts w:ascii="Arial" w:eastAsia="Arial" w:hAnsi="Arial" w:cs="Arial"/>
          <w:sz w:val="22"/>
          <w:szCs w:val="22"/>
        </w:rPr>
        <w:t xml:space="preserve"> so the smallest box by volume and the fullest box by utilisation end up being the same box. The two strategies only get a chance to diverge in how partial, multi-carton candidates are ranked during the recursive search, and right now that ranking rule is identical regardless of strategy. Worth reporting as a genuine interim finding, not a defect </w:t>
      </w:r>
      <w:r w:rsidR="003E0A92">
        <w:rPr>
          <w:rFonts w:ascii="Arial" w:eastAsia="Arial" w:hAnsi="Arial" w:cs="Arial"/>
          <w:sz w:val="22"/>
          <w:szCs w:val="22"/>
        </w:rPr>
        <w:t>-</w:t>
      </w:r>
      <w:r>
        <w:rPr>
          <w:rFonts w:ascii="Arial" w:eastAsia="Arial" w:hAnsi="Arial" w:cs="Arial"/>
          <w:sz w:val="22"/>
          <w:szCs w:val="22"/>
        </w:rPr>
        <w:t xml:space="preserve"> it pins down exactly where a future optimisation-based </w:t>
      </w:r>
      <w:proofErr w:type="gramStart"/>
      <w:r>
        <w:rPr>
          <w:rFonts w:ascii="Arial" w:eastAsia="Arial" w:hAnsi="Arial" w:cs="Arial"/>
          <w:sz w:val="22"/>
          <w:szCs w:val="22"/>
        </w:rPr>
        <w:t>Best</w:t>
      </w:r>
      <w:proofErr w:type="gramEnd"/>
      <w:r>
        <w:rPr>
          <w:rFonts w:ascii="Arial" w:eastAsia="Arial" w:hAnsi="Arial" w:cs="Arial"/>
          <w:sz w:val="22"/>
          <w:szCs w:val="22"/>
        </w:rPr>
        <w:t xml:space="preserve"> mode would need to diverge from Fast, which is the gap the final-report optimisation engine (Section 8) is meant to close.</w:t>
      </w:r>
    </w:p>
    <w:p w14:paraId="58E2A53F" w14:textId="6E681D72" w:rsidR="00FD4E7B" w:rsidRDefault="00000000">
      <w:pPr>
        <w:spacing w:after="200" w:line="480" w:lineRule="auto"/>
        <w:jc w:val="both"/>
      </w:pPr>
      <w:r>
        <w:rPr>
          <w:rFonts w:ascii="Arial" w:eastAsia="Arial" w:hAnsi="Arial" w:cs="Arial"/>
          <w:sz w:val="22"/>
          <w:szCs w:val="22"/>
        </w:rPr>
        <w:t xml:space="preserve">The engine was also stress-tested for something the brief didn't strictly require but that matters for deployment confidence: whether the result depends on input item order. Across 20 randomised shuffles of each of 29 sample orders, it produced identical carton counts, carton choices, and unpacked counts every time </w:t>
      </w:r>
      <w:r w:rsidR="003E0A92">
        <w:rPr>
          <w:rFonts w:ascii="Arial" w:eastAsia="Arial" w:hAnsi="Arial" w:cs="Arial"/>
          <w:sz w:val="22"/>
          <w:szCs w:val="22"/>
        </w:rPr>
        <w:t>-</w:t>
      </w:r>
      <w:r>
        <w:rPr>
          <w:rFonts w:ascii="Arial" w:eastAsia="Arial" w:hAnsi="Arial" w:cs="Arial"/>
          <w:sz w:val="22"/>
          <w:szCs w:val="22"/>
        </w:rPr>
        <w:t xml:space="preserve"> 0 of 29 showed any sensitivity to input ordering. Expected by construction, since the placement search re-sorts units internally using four fixed orderings regardless of arrival order, but worth confirming empirically rather than assuming it. A solver whose output depended on incidental upstream ordering wouldn't be suitable for production.</w:t>
      </w:r>
    </w:p>
    <w:p w14:paraId="09EA4C53" w14:textId="77777777" w:rsidR="00FD4E7B" w:rsidRDefault="00000000">
      <w:pPr>
        <w:pStyle w:val="Heading2"/>
        <w:spacing w:before="360" w:after="200"/>
      </w:pPr>
      <w:r>
        <w:rPr>
          <w:rFonts w:ascii="Arial" w:eastAsia="Arial" w:hAnsi="Arial" w:cs="Arial"/>
          <w:b/>
          <w:bCs/>
          <w:color w:val="1A1A1A"/>
        </w:rPr>
        <w:t>Compare with the reference data</w:t>
      </w:r>
    </w:p>
    <w:p w14:paraId="7C7ED3A1" w14:textId="17BA7A3A" w:rsidR="00FD4E7B" w:rsidRDefault="00000000">
      <w:pPr>
        <w:spacing w:after="200" w:line="480" w:lineRule="auto"/>
        <w:jc w:val="both"/>
      </w:pPr>
      <w:r>
        <w:rPr>
          <w:rFonts w:ascii="Arial" w:eastAsia="Arial" w:hAnsi="Arial" w:cs="Arial"/>
          <w:sz w:val="22"/>
          <w:szCs w:val="22"/>
        </w:rPr>
        <w:t xml:space="preserve">Table 2 and Figure 2 above are that comparison. Both strategies matched history's exact carton count on 95.8% of orders and exact carton mix on 85.7%, used 3.7% more total carton volume overall (2,214 vs. 2,134 cartons), and landed within 0.7 points of history's average utilisation (47.0% vs. 47.7%) </w:t>
      </w:r>
      <w:r w:rsidR="003E0A92">
        <w:rPr>
          <w:rFonts w:ascii="Arial" w:eastAsia="Arial" w:hAnsi="Arial" w:cs="Arial"/>
          <w:sz w:val="22"/>
          <w:szCs w:val="22"/>
        </w:rPr>
        <w:t>-</w:t>
      </w:r>
      <w:r>
        <w:rPr>
          <w:rFonts w:ascii="Arial" w:eastAsia="Arial" w:hAnsi="Arial" w:cs="Arial"/>
          <w:sz w:val="22"/>
          <w:szCs w:val="22"/>
        </w:rPr>
        <w:t xml:space="preserve"> while running roughly two orders of magnitude faster (median 3.3 </w:t>
      </w:r>
      <w:proofErr w:type="spellStart"/>
      <w:r>
        <w:rPr>
          <w:rFonts w:ascii="Arial" w:eastAsia="Arial" w:hAnsi="Arial" w:cs="Arial"/>
          <w:sz w:val="22"/>
          <w:szCs w:val="22"/>
        </w:rPr>
        <w:t>ms</w:t>
      </w:r>
      <w:proofErr w:type="spellEnd"/>
      <w:r>
        <w:rPr>
          <w:rFonts w:ascii="Arial" w:eastAsia="Arial" w:hAnsi="Arial" w:cs="Arial"/>
          <w:sz w:val="22"/>
          <w:szCs w:val="22"/>
        </w:rPr>
        <w:t xml:space="preserve"> vs. 187 </w:t>
      </w:r>
      <w:proofErr w:type="spellStart"/>
      <w:r>
        <w:rPr>
          <w:rFonts w:ascii="Arial" w:eastAsia="Arial" w:hAnsi="Arial" w:cs="Arial"/>
          <w:sz w:val="22"/>
          <w:szCs w:val="22"/>
        </w:rPr>
        <w:t>ms</w:t>
      </w:r>
      <w:proofErr w:type="spellEnd"/>
      <w:r>
        <w:rPr>
          <w:rFonts w:ascii="Arial" w:eastAsia="Arial" w:hAnsi="Arial" w:cs="Arial"/>
          <w:sz w:val="22"/>
          <w:szCs w:val="22"/>
        </w:rPr>
        <w:t xml:space="preserve">). Given the EDA's finding that history doesn't strictly enforce its own 70% fill rule (Section 6.1), </w:t>
      </w:r>
      <w:r>
        <w:rPr>
          <w:rFonts w:ascii="Arial" w:eastAsia="Arial" w:hAnsi="Arial" w:cs="Arial"/>
          <w:sz w:val="22"/>
          <w:szCs w:val="22"/>
        </w:rPr>
        <w:lastRenderedPageBreak/>
        <w:t>some of this gap is the solver correctly applying a rule history didn't consistently follow, not solver inefficiency.</w:t>
      </w:r>
    </w:p>
    <w:p w14:paraId="2889D2A2" w14:textId="77777777" w:rsidR="00FD4E7B" w:rsidRDefault="00000000">
      <w:pPr>
        <w:pStyle w:val="Heading2"/>
        <w:spacing w:before="360" w:after="200"/>
      </w:pPr>
      <w:r>
        <w:rPr>
          <w:rFonts w:ascii="Arial" w:eastAsia="Arial" w:hAnsi="Arial" w:cs="Arial"/>
          <w:b/>
          <w:bCs/>
          <w:color w:val="1A1A1A"/>
        </w:rPr>
        <w:t>Tune parameters and logic, repeating the comparison</w:t>
      </w:r>
    </w:p>
    <w:p w14:paraId="4A62502A" w14:textId="53DE32D7" w:rsidR="00FD4E7B" w:rsidRDefault="00000000">
      <w:pPr>
        <w:spacing w:after="200" w:line="480" w:lineRule="auto"/>
        <w:jc w:val="both"/>
      </w:pPr>
      <w:r>
        <w:rPr>
          <w:rFonts w:ascii="Arial" w:eastAsia="Arial" w:hAnsi="Arial" w:cs="Arial"/>
          <w:sz w:val="22"/>
          <w:szCs w:val="22"/>
        </w:rPr>
        <w:t xml:space="preserve">The results above came from an iterative tuning loop, not a single untouched run. The multi-carton branching search was initially capped at a fixed recursion depth; that cap was removed and replaced with a time-budget-only limit after testing showed it made no difference to the sample results but unnecessarily constrained harder, many-carton orders. A candidate speed-up </w:t>
      </w:r>
      <w:r w:rsidR="003E0A92">
        <w:rPr>
          <w:rFonts w:ascii="Arial" w:eastAsia="Arial" w:hAnsi="Arial" w:cs="Arial"/>
          <w:sz w:val="22"/>
          <w:szCs w:val="22"/>
        </w:rPr>
        <w:t>-</w:t>
      </w:r>
      <w:r>
        <w:rPr>
          <w:rFonts w:ascii="Arial" w:eastAsia="Arial" w:hAnsi="Arial" w:cs="Arial"/>
          <w:sz w:val="22"/>
          <w:szCs w:val="22"/>
        </w:rPr>
        <w:t xml:space="preserve"> pre-filtering boxes by total order volume before the full geometric search </w:t>
      </w:r>
      <w:r w:rsidR="003E0A92">
        <w:rPr>
          <w:rFonts w:ascii="Arial" w:eastAsia="Arial" w:hAnsi="Arial" w:cs="Arial"/>
          <w:sz w:val="22"/>
          <w:szCs w:val="22"/>
        </w:rPr>
        <w:t>-</w:t>
      </w:r>
      <w:r>
        <w:rPr>
          <w:rFonts w:ascii="Arial" w:eastAsia="Arial" w:hAnsi="Arial" w:cs="Arial"/>
          <w:sz w:val="22"/>
          <w:szCs w:val="22"/>
        </w:rPr>
        <w:t xml:space="preserve"> measured roughly 6× faster on a stress case, but re-testing showed it silently broke 3 of 29 sample orders by excluding boxes that were still valid as partial-fit candidates. It was reverted on that evidence rather than kept for the speed gain. Both changes were checked against the same metrics and validator before being accepted or thrown out </w:t>
      </w:r>
      <w:r w:rsidR="003E0A92">
        <w:rPr>
          <w:rFonts w:ascii="Arial" w:eastAsia="Arial" w:hAnsi="Arial" w:cs="Arial"/>
          <w:sz w:val="22"/>
          <w:szCs w:val="22"/>
        </w:rPr>
        <w:t>-</w:t>
      </w:r>
      <w:r>
        <w:rPr>
          <w:rFonts w:ascii="Arial" w:eastAsia="Arial" w:hAnsi="Arial" w:cs="Arial"/>
          <w:sz w:val="22"/>
          <w:szCs w:val="22"/>
        </w:rPr>
        <w:t xml:space="preserve"> that tune-compare-repeat cycle is the methodology here, not a one-off adjustment.</w:t>
      </w:r>
    </w:p>
    <w:p w14:paraId="38AA47C1" w14:textId="77777777" w:rsidR="00FD4E7B" w:rsidRDefault="00000000">
      <w:pPr>
        <w:pStyle w:val="Heading1"/>
        <w:spacing w:before="360" w:after="200"/>
      </w:pPr>
      <w:r>
        <w:rPr>
          <w:rFonts w:ascii="Arial" w:eastAsia="Arial" w:hAnsi="Arial" w:cs="Arial"/>
          <w:b/>
          <w:bCs/>
          <w:color w:val="1A1A1A"/>
          <w:sz w:val="30"/>
          <w:szCs w:val="30"/>
        </w:rPr>
        <w:t>7. Interim Findings and Recommendation</w:t>
      </w:r>
    </w:p>
    <w:p w14:paraId="778F918C" w14:textId="77777777" w:rsidR="00FD4E7B" w:rsidRDefault="00000000">
      <w:pPr>
        <w:pStyle w:val="Heading2"/>
        <w:spacing w:before="360" w:after="200"/>
      </w:pPr>
      <w:r>
        <w:rPr>
          <w:rFonts w:ascii="Arial" w:eastAsia="Arial" w:hAnsi="Arial" w:cs="Arial"/>
          <w:b/>
          <w:bCs/>
          <w:color w:val="1A1A1A"/>
        </w:rPr>
        <w:t>7.1 Interim Findings</w:t>
      </w:r>
    </w:p>
    <w:p w14:paraId="59CFB147" w14:textId="609A605F" w:rsidR="00FD4E7B" w:rsidRDefault="00000000">
      <w:pPr>
        <w:pStyle w:val="ListParagraph"/>
        <w:numPr>
          <w:ilvl w:val="0"/>
          <w:numId w:val="2"/>
        </w:numPr>
        <w:spacing w:after="100" w:line="480" w:lineRule="auto"/>
      </w:pPr>
      <w:r>
        <w:rPr>
          <w:rFonts w:ascii="Arial" w:eastAsia="Arial" w:hAnsi="Arial" w:cs="Arial"/>
          <w:b/>
          <w:bCs/>
          <w:sz w:val="22"/>
          <w:szCs w:val="22"/>
        </w:rPr>
        <w:t xml:space="preserve">The core packing engine is functionally complete and independently validated, within this phase's scope. </w:t>
      </w:r>
      <w:r>
        <w:rPr>
          <w:rFonts w:ascii="Arial" w:eastAsia="Arial" w:hAnsi="Arial" w:cs="Arial"/>
          <w:sz w:val="22"/>
          <w:szCs w:val="22"/>
        </w:rPr>
        <w:t xml:space="preserve">Both implementations handle requirements and rules, a volumetric baseline, 3D extreme-point placement, orientation handling, weight limits, the configurable buffer, the fill-percentage rule, and multi-carton allocation. Zero feasibility violations across a full 2,000-order run. One gap worth flagging: the author's engine enforces a physical-support rule the shared repository's validator doesn't </w:t>
      </w:r>
      <w:r w:rsidR="003E0A92">
        <w:rPr>
          <w:rFonts w:ascii="Arial" w:eastAsia="Arial" w:hAnsi="Arial" w:cs="Arial"/>
          <w:sz w:val="22"/>
          <w:szCs w:val="22"/>
        </w:rPr>
        <w:t>-</w:t>
      </w:r>
      <w:r>
        <w:rPr>
          <w:rFonts w:ascii="Arial" w:eastAsia="Arial" w:hAnsi="Arial" w:cs="Arial"/>
          <w:sz w:val="22"/>
          <w:szCs w:val="22"/>
        </w:rPr>
        <w:t xml:space="preserve"> a known divergence, not a shared guarantee (Section 6.2).</w:t>
      </w:r>
    </w:p>
    <w:p w14:paraId="0FD0CFBB" w14:textId="70863019" w:rsidR="00FD4E7B" w:rsidRDefault="00000000">
      <w:pPr>
        <w:pStyle w:val="ListParagraph"/>
        <w:numPr>
          <w:ilvl w:val="0"/>
          <w:numId w:val="2"/>
        </w:numPr>
        <w:spacing w:after="100" w:line="480" w:lineRule="auto"/>
      </w:pPr>
      <w:r>
        <w:rPr>
          <w:rFonts w:ascii="Arial" w:eastAsia="Arial" w:hAnsi="Arial" w:cs="Arial"/>
          <w:b/>
          <w:bCs/>
          <w:sz w:val="22"/>
          <w:szCs w:val="22"/>
        </w:rPr>
        <w:t xml:space="preserve">First Fit and Best Fit are mathematically equivalent in a naive "rank only complete fits" formulation. </w:t>
      </w:r>
      <w:r>
        <w:rPr>
          <w:rFonts w:ascii="Arial" w:eastAsia="Arial" w:hAnsi="Arial" w:cs="Arial"/>
          <w:sz w:val="22"/>
          <w:szCs w:val="22"/>
        </w:rPr>
        <w:t xml:space="preserve">Found empirically first (identical results on all 2,000 orders), then </w:t>
      </w:r>
      <w:r>
        <w:rPr>
          <w:rFonts w:ascii="Arial" w:eastAsia="Arial" w:hAnsi="Arial" w:cs="Arial"/>
          <w:sz w:val="22"/>
          <w:szCs w:val="22"/>
        </w:rPr>
        <w:lastRenderedPageBreak/>
        <w:t xml:space="preserve">confirmed analytically: both strategies only rank boxes already proven to hold the whole remaining order, so the smallest box and the fullest box are the same box. This is the fit-strategy decision this phase was meant to produce </w:t>
      </w:r>
      <w:r w:rsidR="003E0A92">
        <w:rPr>
          <w:rFonts w:ascii="Arial" w:eastAsia="Arial" w:hAnsi="Arial" w:cs="Arial"/>
          <w:sz w:val="22"/>
          <w:szCs w:val="22"/>
        </w:rPr>
        <w:t>-</w:t>
      </w:r>
      <w:r>
        <w:rPr>
          <w:rFonts w:ascii="Arial" w:eastAsia="Arial" w:hAnsi="Arial" w:cs="Arial"/>
          <w:sz w:val="22"/>
          <w:szCs w:val="22"/>
        </w:rPr>
        <w:t xml:space="preserve"> a heuristic ranking tweak can't make Best meaningfully better than </w:t>
      </w:r>
      <w:proofErr w:type="gramStart"/>
      <w:r>
        <w:rPr>
          <w:rFonts w:ascii="Arial" w:eastAsia="Arial" w:hAnsi="Arial" w:cs="Arial"/>
          <w:sz w:val="22"/>
          <w:szCs w:val="22"/>
        </w:rPr>
        <w:t>Fast</w:t>
      </w:r>
      <w:proofErr w:type="gramEnd"/>
      <w:r>
        <w:rPr>
          <w:rFonts w:ascii="Arial" w:eastAsia="Arial" w:hAnsi="Arial" w:cs="Arial"/>
          <w:sz w:val="22"/>
          <w:szCs w:val="22"/>
        </w:rPr>
        <w:t>; that needs the optimisation engine planned for the final report (Section 8).</w:t>
      </w:r>
    </w:p>
    <w:p w14:paraId="58BDF1BA" w14:textId="77777777" w:rsidR="00FD4E7B" w:rsidRDefault="00000000">
      <w:pPr>
        <w:pStyle w:val="ListParagraph"/>
        <w:numPr>
          <w:ilvl w:val="0"/>
          <w:numId w:val="2"/>
        </w:numPr>
        <w:spacing w:after="100" w:line="480" w:lineRule="auto"/>
      </w:pPr>
      <w:r>
        <w:rPr>
          <w:rFonts w:ascii="Arial" w:eastAsia="Arial" w:hAnsi="Arial" w:cs="Arial"/>
          <w:b/>
          <w:bCs/>
          <w:sz w:val="22"/>
          <w:szCs w:val="22"/>
        </w:rPr>
        <w:t xml:space="preserve">There's a real efficiency gap against the historical benchmark. </w:t>
      </w:r>
      <w:r>
        <w:rPr>
          <w:rFonts w:ascii="Arial" w:eastAsia="Arial" w:hAnsi="Arial" w:cs="Arial"/>
          <w:sz w:val="22"/>
          <w:szCs w:val="22"/>
        </w:rPr>
        <w:t>2,214 cartons against history's 2,134 (3.7% more), matching history's exact carton mix on 85.7% of orders. Since history doesn't strictly follow its own fill rule, some of this gap is correct rule enforcement, not inefficiency.</w:t>
      </w:r>
    </w:p>
    <w:p w14:paraId="09EF60A3" w14:textId="77777777" w:rsidR="00FD4E7B" w:rsidRDefault="00000000">
      <w:pPr>
        <w:pStyle w:val="ListParagraph"/>
        <w:numPr>
          <w:ilvl w:val="0"/>
          <w:numId w:val="2"/>
        </w:numPr>
        <w:spacing w:after="100" w:line="480" w:lineRule="auto"/>
      </w:pPr>
      <w:r>
        <w:rPr>
          <w:rFonts w:ascii="Arial" w:eastAsia="Arial" w:hAnsi="Arial" w:cs="Arial"/>
          <w:b/>
          <w:bCs/>
          <w:sz w:val="22"/>
          <w:szCs w:val="22"/>
        </w:rPr>
        <w:t xml:space="preserve">The engine is a lot faster than the historical system. </w:t>
      </w:r>
      <w:r>
        <w:rPr>
          <w:rFonts w:ascii="Arial" w:eastAsia="Arial" w:hAnsi="Arial" w:cs="Arial"/>
          <w:sz w:val="22"/>
          <w:szCs w:val="22"/>
        </w:rPr>
        <w:t xml:space="preserve">Median runtime around 3.3 </w:t>
      </w:r>
      <w:proofErr w:type="spellStart"/>
      <w:r>
        <w:rPr>
          <w:rFonts w:ascii="Arial" w:eastAsia="Arial" w:hAnsi="Arial" w:cs="Arial"/>
          <w:sz w:val="22"/>
          <w:szCs w:val="22"/>
        </w:rPr>
        <w:t>ms</w:t>
      </w:r>
      <w:proofErr w:type="spellEnd"/>
      <w:r>
        <w:rPr>
          <w:rFonts w:ascii="Arial" w:eastAsia="Arial" w:hAnsi="Arial" w:cs="Arial"/>
          <w:sz w:val="22"/>
          <w:szCs w:val="22"/>
        </w:rPr>
        <w:t xml:space="preserve"> against history's 187 </w:t>
      </w:r>
      <w:proofErr w:type="spellStart"/>
      <w:r>
        <w:rPr>
          <w:rFonts w:ascii="Arial" w:eastAsia="Arial" w:hAnsi="Arial" w:cs="Arial"/>
          <w:sz w:val="22"/>
          <w:szCs w:val="22"/>
        </w:rPr>
        <w:t>ms</w:t>
      </w:r>
      <w:proofErr w:type="spellEnd"/>
      <w:r>
        <w:rPr>
          <w:rFonts w:ascii="Arial" w:eastAsia="Arial" w:hAnsi="Arial" w:cs="Arial"/>
          <w:sz w:val="22"/>
          <w:szCs w:val="22"/>
        </w:rPr>
        <w:t xml:space="preserve">; 95th percentile about 62 </w:t>
      </w:r>
      <w:proofErr w:type="spellStart"/>
      <w:r>
        <w:rPr>
          <w:rFonts w:ascii="Arial" w:eastAsia="Arial" w:hAnsi="Arial" w:cs="Arial"/>
          <w:sz w:val="22"/>
          <w:szCs w:val="22"/>
        </w:rPr>
        <w:t>ms</w:t>
      </w:r>
      <w:proofErr w:type="spellEnd"/>
      <w:r>
        <w:rPr>
          <w:rFonts w:ascii="Arial" w:eastAsia="Arial" w:hAnsi="Arial" w:cs="Arial"/>
          <w:sz w:val="22"/>
          <w:szCs w:val="22"/>
        </w:rPr>
        <w:t xml:space="preserve"> against 442 </w:t>
      </w:r>
      <w:proofErr w:type="spellStart"/>
      <w:r>
        <w:rPr>
          <w:rFonts w:ascii="Arial" w:eastAsia="Arial" w:hAnsi="Arial" w:cs="Arial"/>
          <w:sz w:val="22"/>
          <w:szCs w:val="22"/>
        </w:rPr>
        <w:t>ms</w:t>
      </w:r>
      <w:proofErr w:type="spellEnd"/>
      <w:r>
        <w:rPr>
          <w:rFonts w:ascii="Arial" w:eastAsia="Arial" w:hAnsi="Arial" w:cs="Arial"/>
          <w:sz w:val="22"/>
          <w:szCs w:val="22"/>
        </w:rPr>
        <w:t>. Plenty of latency headroom for scoping the final report's optimisation engine.</w:t>
      </w:r>
    </w:p>
    <w:p w14:paraId="3F5B0E8D" w14:textId="77777777" w:rsidR="00FD4E7B" w:rsidRDefault="00000000">
      <w:pPr>
        <w:pStyle w:val="ListParagraph"/>
        <w:numPr>
          <w:ilvl w:val="0"/>
          <w:numId w:val="2"/>
        </w:numPr>
        <w:spacing w:after="100" w:line="480" w:lineRule="auto"/>
      </w:pPr>
      <w:r>
        <w:rPr>
          <w:rFonts w:ascii="Arial" w:eastAsia="Arial" w:hAnsi="Arial" w:cs="Arial"/>
          <w:b/>
          <w:bCs/>
          <w:sz w:val="22"/>
          <w:szCs w:val="22"/>
        </w:rPr>
        <w:t xml:space="preserve">Project management is on schedule, and the next phase's scope is clearly bounded. </w:t>
      </w:r>
      <w:r>
        <w:rPr>
          <w:rFonts w:ascii="Arial" w:eastAsia="Arial" w:hAnsi="Arial" w:cs="Arial"/>
          <w:sz w:val="22"/>
          <w:szCs w:val="22"/>
        </w:rPr>
        <w:t>Single-box packing and the fit-strategy decision (Weeks 1–3) are done; multi-box allocation (Week 4) is implemented at the heuristic level. The shared repository reached the same Fast/Best stage by its own Week 4 (Pull Request #10), which backs up the timeline independently. Carton-count minimisation through real optimisation (Week 5) is pushed to the final report.</w:t>
      </w:r>
    </w:p>
    <w:p w14:paraId="234A200D" w14:textId="77777777" w:rsidR="00FD4E7B" w:rsidRDefault="00000000">
      <w:pPr>
        <w:pStyle w:val="Heading2"/>
        <w:spacing w:before="360" w:after="200"/>
      </w:pPr>
      <w:r>
        <w:rPr>
          <w:rFonts w:ascii="Arial" w:eastAsia="Arial" w:hAnsi="Arial" w:cs="Arial"/>
          <w:b/>
          <w:bCs/>
          <w:color w:val="1A1A1A"/>
        </w:rPr>
        <w:t>7.2 Recommendation</w:t>
      </w:r>
    </w:p>
    <w:p w14:paraId="6DBC4A9E" w14:textId="77777777" w:rsidR="00FD4E7B" w:rsidRDefault="00000000">
      <w:pPr>
        <w:spacing w:after="200" w:line="480" w:lineRule="auto"/>
        <w:jc w:val="both"/>
      </w:pPr>
      <w:r>
        <w:rPr>
          <w:rFonts w:ascii="Arial" w:eastAsia="Arial" w:hAnsi="Arial" w:cs="Arial"/>
          <w:sz w:val="22"/>
          <w:szCs w:val="22"/>
        </w:rPr>
        <w:t>Three recommendations follow from the findings above.</w:t>
      </w:r>
    </w:p>
    <w:p w14:paraId="6B877C91" w14:textId="26EB59ED" w:rsidR="00FD4E7B" w:rsidRDefault="00000000">
      <w:pPr>
        <w:pStyle w:val="ListParagraph"/>
        <w:numPr>
          <w:ilvl w:val="0"/>
          <w:numId w:val="2"/>
        </w:numPr>
        <w:spacing w:after="100" w:line="480" w:lineRule="auto"/>
      </w:pPr>
      <w:r>
        <w:rPr>
          <w:rFonts w:ascii="Arial" w:eastAsia="Arial" w:hAnsi="Arial" w:cs="Arial"/>
          <w:b/>
          <w:bCs/>
          <w:sz w:val="22"/>
          <w:szCs w:val="22"/>
        </w:rPr>
        <w:t xml:space="preserve">Treat the First-Fit/Best-Fit equivalence as the trigger for the optimisation engine, not a result to work around. </w:t>
      </w:r>
      <w:r>
        <w:rPr>
          <w:rFonts w:ascii="Arial" w:eastAsia="Arial" w:hAnsi="Arial" w:cs="Arial"/>
          <w:sz w:val="22"/>
          <w:szCs w:val="22"/>
        </w:rPr>
        <w:t xml:space="preserve">It's precise about what's needed: an exact or near-exact method, such as constraint programming, for Best to </w:t>
      </w:r>
      <w:proofErr w:type="gramStart"/>
      <w:r>
        <w:rPr>
          <w:rFonts w:ascii="Arial" w:eastAsia="Arial" w:hAnsi="Arial" w:cs="Arial"/>
          <w:sz w:val="22"/>
          <w:szCs w:val="22"/>
        </w:rPr>
        <w:t>actually diverge</w:t>
      </w:r>
      <w:proofErr w:type="gramEnd"/>
      <w:r>
        <w:rPr>
          <w:rFonts w:ascii="Arial" w:eastAsia="Arial" w:hAnsi="Arial" w:cs="Arial"/>
          <w:sz w:val="22"/>
          <w:szCs w:val="22"/>
        </w:rPr>
        <w:t xml:space="preserve"> from Fast. Start this early in the next phase </w:t>
      </w:r>
      <w:r w:rsidR="003E0A92">
        <w:rPr>
          <w:rFonts w:ascii="Arial" w:eastAsia="Arial" w:hAnsi="Arial" w:cs="Arial"/>
          <w:sz w:val="22"/>
          <w:szCs w:val="22"/>
        </w:rPr>
        <w:t>-</w:t>
      </w:r>
      <w:r>
        <w:rPr>
          <w:rFonts w:ascii="Arial" w:eastAsia="Arial" w:hAnsi="Arial" w:cs="Arial"/>
          <w:sz w:val="22"/>
          <w:szCs w:val="22"/>
        </w:rPr>
        <w:t xml:space="preserve"> it's the most technically demanding piece remaining.</w:t>
      </w:r>
    </w:p>
    <w:p w14:paraId="47C2B98A" w14:textId="77777777" w:rsidR="00FD4E7B" w:rsidRDefault="00000000">
      <w:pPr>
        <w:pStyle w:val="ListParagraph"/>
        <w:numPr>
          <w:ilvl w:val="0"/>
          <w:numId w:val="2"/>
        </w:numPr>
        <w:spacing w:after="100" w:line="480" w:lineRule="auto"/>
      </w:pPr>
      <w:r>
        <w:rPr>
          <w:rFonts w:ascii="Arial" w:eastAsia="Arial" w:hAnsi="Arial" w:cs="Arial"/>
          <w:b/>
          <w:bCs/>
          <w:sz w:val="22"/>
          <w:szCs w:val="22"/>
        </w:rPr>
        <w:lastRenderedPageBreak/>
        <w:t xml:space="preserve">Design and run the team's own edge and failure cases now, ahead of the optimisation engine. </w:t>
      </w:r>
      <w:r>
        <w:rPr>
          <w:rFonts w:ascii="Arial" w:eastAsia="Arial" w:hAnsi="Arial" w:cs="Arial"/>
          <w:sz w:val="22"/>
          <w:szCs w:val="22"/>
        </w:rPr>
        <w:t>All 2,000 historical records pack successfully, so unpacked-item and partial-pack paths are still untested against infeasible input. Building this now means it's ready to validate the optimisation engine as soon as it exists.</w:t>
      </w:r>
    </w:p>
    <w:p w14:paraId="1454CE82" w14:textId="77777777" w:rsidR="00FD4E7B" w:rsidRDefault="00000000">
      <w:pPr>
        <w:pStyle w:val="ListParagraph"/>
        <w:numPr>
          <w:ilvl w:val="0"/>
          <w:numId w:val="2"/>
        </w:numPr>
        <w:spacing w:after="100" w:line="480" w:lineRule="auto"/>
      </w:pPr>
      <w:r>
        <w:rPr>
          <w:rFonts w:ascii="Arial" w:eastAsia="Arial" w:hAnsi="Arial" w:cs="Arial"/>
          <w:b/>
          <w:bCs/>
          <w:sz w:val="22"/>
          <w:szCs w:val="22"/>
        </w:rPr>
        <w:t xml:space="preserve">Treat the historical 85.7%/3.7% gap as a starting point, not a pass/fail bar. </w:t>
      </w:r>
      <w:r>
        <w:rPr>
          <w:rFonts w:ascii="Arial" w:eastAsia="Arial" w:hAnsi="Arial" w:cs="Arial"/>
          <w:sz w:val="22"/>
          <w:szCs w:val="22"/>
        </w:rPr>
        <w:t xml:space="preserve">Report carton-count and utilisation gaps alongside a count of historical orders that </w:t>
      </w:r>
      <w:proofErr w:type="gramStart"/>
      <w:r>
        <w:rPr>
          <w:rFonts w:ascii="Arial" w:eastAsia="Arial" w:hAnsi="Arial" w:cs="Arial"/>
          <w:sz w:val="22"/>
          <w:szCs w:val="22"/>
        </w:rPr>
        <w:t>actually violate</w:t>
      </w:r>
      <w:proofErr w:type="gramEnd"/>
      <w:r>
        <w:rPr>
          <w:rFonts w:ascii="Arial" w:eastAsia="Arial" w:hAnsi="Arial" w:cs="Arial"/>
          <w:sz w:val="22"/>
          <w:szCs w:val="22"/>
        </w:rPr>
        <w:t xml:space="preserve"> the 70% rule the solver correctly enforces, so reviewers can tell inefficiency apart from rule compliance.</w:t>
      </w:r>
    </w:p>
    <w:p w14:paraId="14830FDF" w14:textId="77777777" w:rsidR="00FD4E7B" w:rsidRDefault="00000000">
      <w:pPr>
        <w:pStyle w:val="Heading1"/>
        <w:spacing w:before="360" w:after="200"/>
      </w:pPr>
      <w:r>
        <w:rPr>
          <w:rFonts w:ascii="Arial" w:eastAsia="Arial" w:hAnsi="Arial" w:cs="Arial"/>
          <w:b/>
          <w:bCs/>
          <w:color w:val="1A1A1A"/>
          <w:sz w:val="30"/>
          <w:szCs w:val="30"/>
        </w:rPr>
        <w:t>8. Further Work Needed</w:t>
      </w:r>
    </w:p>
    <w:p w14:paraId="03048BCC" w14:textId="298F67DE" w:rsidR="00FD4E7B" w:rsidRDefault="00000000">
      <w:pPr>
        <w:spacing w:after="200" w:line="480" w:lineRule="auto"/>
        <w:jc w:val="both"/>
      </w:pPr>
      <w:r>
        <w:rPr>
          <w:rFonts w:ascii="Arial" w:eastAsia="Arial" w:hAnsi="Arial" w:cs="Arial"/>
          <w:sz w:val="22"/>
          <w:szCs w:val="22"/>
        </w:rPr>
        <w:t xml:space="preserve">This is the planned scope for the next phase, leading into the final report. The optimisation engine is listed first on purpose </w:t>
      </w:r>
      <w:r w:rsidR="003E0A92">
        <w:rPr>
          <w:rFonts w:ascii="Arial" w:eastAsia="Arial" w:hAnsi="Arial" w:cs="Arial"/>
          <w:sz w:val="22"/>
          <w:szCs w:val="22"/>
        </w:rPr>
        <w:t>-</w:t>
      </w:r>
      <w:r>
        <w:rPr>
          <w:rFonts w:ascii="Arial" w:eastAsia="Arial" w:hAnsi="Arial" w:cs="Arial"/>
          <w:sz w:val="22"/>
          <w:szCs w:val="22"/>
        </w:rPr>
        <w:t xml:space="preserve"> it's the main piece of work this interim report doesn't cover.</w:t>
      </w:r>
    </w:p>
    <w:p w14:paraId="6073C3E9" w14:textId="2CE332FD" w:rsidR="00FD4E7B" w:rsidRDefault="00000000">
      <w:pPr>
        <w:pStyle w:val="ListParagraph"/>
        <w:numPr>
          <w:ilvl w:val="0"/>
          <w:numId w:val="2"/>
        </w:numPr>
        <w:spacing w:after="100" w:line="480" w:lineRule="auto"/>
      </w:pPr>
      <w:r>
        <w:rPr>
          <w:rFonts w:ascii="Arial" w:eastAsia="Arial" w:hAnsi="Arial" w:cs="Arial"/>
          <w:b/>
          <w:bCs/>
          <w:sz w:val="22"/>
          <w:szCs w:val="22"/>
        </w:rPr>
        <w:t xml:space="preserve">Build the optimisation engine. </w:t>
      </w:r>
      <w:r>
        <w:rPr>
          <w:rFonts w:ascii="Arial" w:eastAsia="Arial" w:hAnsi="Arial" w:cs="Arial"/>
          <w:sz w:val="22"/>
          <w:szCs w:val="22"/>
        </w:rPr>
        <w:t xml:space="preserve">Replace the heuristic Best-mode ranking with an exact or near-exact method, such as constraint programming, so Best can </w:t>
      </w:r>
      <w:proofErr w:type="gramStart"/>
      <w:r>
        <w:rPr>
          <w:rFonts w:ascii="Arial" w:eastAsia="Arial" w:hAnsi="Arial" w:cs="Arial"/>
          <w:sz w:val="22"/>
          <w:szCs w:val="22"/>
        </w:rPr>
        <w:t>actually improve</w:t>
      </w:r>
      <w:proofErr w:type="gramEnd"/>
      <w:r>
        <w:rPr>
          <w:rFonts w:ascii="Arial" w:eastAsia="Arial" w:hAnsi="Arial" w:cs="Arial"/>
          <w:sz w:val="22"/>
          <w:szCs w:val="22"/>
        </w:rPr>
        <w:t xml:space="preserve"> on Fast. The final report's central technical contribution. (Benchmark infrastructure already exists </w:t>
      </w:r>
      <w:r w:rsidR="003E0A92">
        <w:rPr>
          <w:rFonts w:ascii="Arial" w:eastAsia="Arial" w:hAnsi="Arial" w:cs="Arial"/>
          <w:sz w:val="22"/>
          <w:szCs w:val="22"/>
        </w:rPr>
        <w:t>-</w:t>
      </w:r>
      <w:r>
        <w:rPr>
          <w:rFonts w:ascii="Arial" w:eastAsia="Arial" w:hAnsi="Arial" w:cs="Arial"/>
          <w:sz w:val="22"/>
          <w:szCs w:val="22"/>
        </w:rPr>
        <w:t xml:space="preserve"> PR #50.)</w:t>
      </w:r>
    </w:p>
    <w:p w14:paraId="542FA154" w14:textId="77777777" w:rsidR="00FD4E7B" w:rsidRDefault="00000000">
      <w:pPr>
        <w:pStyle w:val="ListParagraph"/>
        <w:numPr>
          <w:ilvl w:val="0"/>
          <w:numId w:val="2"/>
        </w:numPr>
        <w:spacing w:after="100" w:line="480" w:lineRule="auto"/>
      </w:pPr>
      <w:r>
        <w:rPr>
          <w:rFonts w:ascii="Arial" w:eastAsia="Arial" w:hAnsi="Arial" w:cs="Arial"/>
          <w:b/>
          <w:bCs/>
          <w:sz w:val="22"/>
          <w:szCs w:val="22"/>
        </w:rPr>
        <w:t xml:space="preserve">Get an independent, blinded holdout benchmark. </w:t>
      </w:r>
      <w:r>
        <w:rPr>
          <w:rFonts w:ascii="Arial" w:eastAsia="Arial" w:hAnsi="Arial" w:cs="Arial"/>
          <w:sz w:val="22"/>
          <w:szCs w:val="22"/>
        </w:rPr>
        <w:t>Any claim the optimisation engine generalises, rather than just fitting the 2,000-order development set, needs checking against orders that played no role in tuning it. Plan this alongside the engine itself.</w:t>
      </w:r>
    </w:p>
    <w:p w14:paraId="424D02A2" w14:textId="4C5D417E" w:rsidR="00FD4E7B" w:rsidRDefault="00000000">
      <w:pPr>
        <w:pStyle w:val="ListParagraph"/>
        <w:numPr>
          <w:ilvl w:val="0"/>
          <w:numId w:val="2"/>
        </w:numPr>
        <w:spacing w:after="100" w:line="480" w:lineRule="auto"/>
      </w:pPr>
      <w:r>
        <w:rPr>
          <w:rFonts w:ascii="Arial" w:eastAsia="Arial" w:hAnsi="Arial" w:cs="Arial"/>
          <w:b/>
          <w:bCs/>
          <w:sz w:val="22"/>
          <w:szCs w:val="22"/>
        </w:rPr>
        <w:t xml:space="preserve">Design and run the team's own edge and failure cases. </w:t>
      </w:r>
      <w:r>
        <w:rPr>
          <w:rFonts w:ascii="Arial" w:eastAsia="Arial" w:hAnsi="Arial" w:cs="Arial"/>
          <w:sz w:val="22"/>
          <w:szCs w:val="22"/>
        </w:rPr>
        <w:t xml:space="preserve">Oversized items, over-weight orders, infeasible combinations </w:t>
      </w:r>
      <w:r w:rsidR="003E0A92">
        <w:rPr>
          <w:rFonts w:ascii="Arial" w:eastAsia="Arial" w:hAnsi="Arial" w:cs="Arial"/>
          <w:sz w:val="22"/>
          <w:szCs w:val="22"/>
        </w:rPr>
        <w:t>-</w:t>
      </w:r>
      <w:r>
        <w:rPr>
          <w:rFonts w:ascii="Arial" w:eastAsia="Arial" w:hAnsi="Arial" w:cs="Arial"/>
          <w:sz w:val="22"/>
          <w:szCs w:val="22"/>
        </w:rPr>
        <w:t xml:space="preserve"> the team </w:t>
      </w:r>
      <w:proofErr w:type="gramStart"/>
      <w:r>
        <w:rPr>
          <w:rFonts w:ascii="Arial" w:eastAsia="Arial" w:hAnsi="Arial" w:cs="Arial"/>
          <w:sz w:val="22"/>
          <w:szCs w:val="22"/>
        </w:rPr>
        <w:t>has to</w:t>
      </w:r>
      <w:proofErr w:type="gramEnd"/>
      <w:r>
        <w:rPr>
          <w:rFonts w:ascii="Arial" w:eastAsia="Arial" w:hAnsi="Arial" w:cs="Arial"/>
          <w:sz w:val="22"/>
          <w:szCs w:val="22"/>
        </w:rPr>
        <w:t xml:space="preserve"> write these, since the dataset contains none. Also useful as candidate material for the holdout above.</w:t>
      </w:r>
    </w:p>
    <w:p w14:paraId="1F6AE901" w14:textId="77777777" w:rsidR="00FD4E7B" w:rsidRDefault="00000000">
      <w:pPr>
        <w:pStyle w:val="ListParagraph"/>
        <w:numPr>
          <w:ilvl w:val="0"/>
          <w:numId w:val="2"/>
        </w:numPr>
        <w:spacing w:after="100" w:line="480" w:lineRule="auto"/>
      </w:pPr>
      <w:r>
        <w:rPr>
          <w:rFonts w:ascii="Arial" w:eastAsia="Arial" w:hAnsi="Arial" w:cs="Arial"/>
          <w:b/>
          <w:bCs/>
          <w:sz w:val="22"/>
          <w:szCs w:val="22"/>
        </w:rPr>
        <w:t xml:space="preserve">Finalise the evaluation scorecard and results write-up. </w:t>
      </w:r>
      <w:r>
        <w:rPr>
          <w:rFonts w:ascii="Arial" w:eastAsia="Arial" w:hAnsi="Arial" w:cs="Arial"/>
          <w:sz w:val="22"/>
          <w:szCs w:val="22"/>
        </w:rPr>
        <w:t>Extended to cover the optimisation engine once built.</w:t>
      </w:r>
    </w:p>
    <w:p w14:paraId="63799145" w14:textId="77777777" w:rsidR="00FD4E7B" w:rsidRDefault="00000000">
      <w:pPr>
        <w:pStyle w:val="ListParagraph"/>
        <w:numPr>
          <w:ilvl w:val="0"/>
          <w:numId w:val="2"/>
        </w:numPr>
        <w:spacing w:after="100" w:line="480" w:lineRule="auto"/>
      </w:pPr>
      <w:r>
        <w:rPr>
          <w:rFonts w:ascii="Arial" w:eastAsia="Arial" w:hAnsi="Arial" w:cs="Arial"/>
          <w:b/>
          <w:bCs/>
          <w:sz w:val="22"/>
          <w:szCs w:val="22"/>
        </w:rPr>
        <w:lastRenderedPageBreak/>
        <w:t xml:space="preserve">Finish integration and test-suite coverage for the optimisation engine's API. </w:t>
      </w:r>
      <w:r>
        <w:rPr>
          <w:rFonts w:ascii="Arial" w:eastAsia="Arial" w:hAnsi="Arial" w:cs="Arial"/>
          <w:sz w:val="22"/>
          <w:szCs w:val="22"/>
        </w:rPr>
        <w:t>The interface layer is currently wired against the heuristic Fast/Best split and will need confirming against whatever contract the optimisation engine ends up exposing.</w:t>
      </w:r>
    </w:p>
    <w:p w14:paraId="49C6EFF6" w14:textId="77777777" w:rsidR="00FD4E7B" w:rsidRDefault="00000000">
      <w:pPr>
        <w:pStyle w:val="ListParagraph"/>
        <w:numPr>
          <w:ilvl w:val="0"/>
          <w:numId w:val="2"/>
        </w:numPr>
        <w:spacing w:after="100" w:line="480" w:lineRule="auto"/>
      </w:pPr>
      <w:r>
        <w:rPr>
          <w:rFonts w:ascii="Arial" w:eastAsia="Arial" w:hAnsi="Arial" w:cs="Arial"/>
          <w:b/>
          <w:bCs/>
          <w:sz w:val="22"/>
          <w:szCs w:val="22"/>
        </w:rPr>
        <w:t xml:space="preserve">Consider a self-hosted </w:t>
      </w:r>
      <w:proofErr w:type="spellStart"/>
      <w:r>
        <w:rPr>
          <w:rFonts w:ascii="Arial" w:eastAsia="Arial" w:hAnsi="Arial" w:cs="Arial"/>
          <w:b/>
          <w:bCs/>
          <w:sz w:val="22"/>
          <w:szCs w:val="22"/>
        </w:rPr>
        <w:t>FastAPI</w:t>
      </w:r>
      <w:proofErr w:type="spellEnd"/>
      <w:r>
        <w:rPr>
          <w:rFonts w:ascii="Arial" w:eastAsia="Arial" w:hAnsi="Arial" w:cs="Arial"/>
          <w:b/>
          <w:bCs/>
          <w:sz w:val="22"/>
          <w:szCs w:val="22"/>
        </w:rPr>
        <w:t xml:space="preserve"> microservice layer. </w:t>
      </w:r>
      <w:r>
        <w:rPr>
          <w:rFonts w:ascii="Arial" w:eastAsia="Arial" w:hAnsi="Arial" w:cs="Arial"/>
          <w:sz w:val="22"/>
          <w:szCs w:val="22"/>
        </w:rPr>
        <w:t>Named as a stretch goal in the original brief. Not required for the core deliverable, but a natural addition once the optimisation engine is stable, showing the solver as a deployable service rather than just a library.</w:t>
      </w:r>
    </w:p>
    <w:p w14:paraId="6FF09FC8" w14:textId="77777777" w:rsidR="00FD4E7B" w:rsidRDefault="00000000">
      <w:pPr>
        <w:pStyle w:val="Heading1"/>
        <w:spacing w:before="360" w:after="200"/>
      </w:pPr>
      <w:r>
        <w:rPr>
          <w:rFonts w:ascii="Arial" w:eastAsia="Arial" w:hAnsi="Arial" w:cs="Arial"/>
          <w:b/>
          <w:bCs/>
          <w:color w:val="1A1A1A"/>
          <w:sz w:val="30"/>
          <w:szCs w:val="30"/>
        </w:rPr>
        <w:t>9. Project Management</w:t>
      </w:r>
    </w:p>
    <w:p w14:paraId="7D2EBFAD" w14:textId="77777777" w:rsidR="00FD4E7B" w:rsidRDefault="00000000">
      <w:pPr>
        <w:spacing w:after="200" w:line="480" w:lineRule="auto"/>
        <w:jc w:val="both"/>
      </w:pPr>
      <w:r>
        <w:rPr>
          <w:rFonts w:ascii="Arial" w:eastAsia="Arial" w:hAnsi="Arial" w:cs="Arial"/>
          <w:sz w:val="22"/>
          <w:szCs w:val="22"/>
        </w:rPr>
        <w:t>Table 1 already gives the week-by-week schedule, so this section covers completion status, evidence, responsibility, and risk instead of repeating that timeline. All ten tasks scoped for this interim phase are complete, each traceable to either the author's tested implementation or the shared repository's pull-request history (Pull Requests #6–#10, the heuristic Fast/Best stage predating the optimisation engine). Two items remain outstanding: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4"/>
        <w:gridCol w:w="1358"/>
        <w:gridCol w:w="4858"/>
      </w:tblGrid>
      <w:tr w:rsidR="00FD4E7B" w14:paraId="717B236B" w14:textId="77777777">
        <w:tblPrEx>
          <w:tblCellMar>
            <w:top w:w="0" w:type="dxa"/>
            <w:bottom w:w="0" w:type="dxa"/>
          </w:tblCellMar>
        </w:tblPrEx>
        <w:trPr>
          <w:tblHeader/>
        </w:trPr>
        <w:tc>
          <w:tcPr>
            <w:tcW w:w="3000" w:type="dxa"/>
            <w:shd w:val="clear" w:color="auto" w:fill="2A4A6B"/>
            <w:tcMar>
              <w:top w:w="80" w:type="dxa"/>
              <w:left w:w="100" w:type="dxa"/>
              <w:bottom w:w="80" w:type="dxa"/>
              <w:right w:w="100" w:type="dxa"/>
            </w:tcMar>
            <w:vAlign w:val="center"/>
          </w:tcPr>
          <w:p w14:paraId="057C5227" w14:textId="77777777" w:rsidR="00FD4E7B" w:rsidRDefault="00000000">
            <w:r>
              <w:rPr>
                <w:rFonts w:ascii="Arial" w:eastAsia="Arial" w:hAnsi="Arial" w:cs="Arial"/>
                <w:b/>
                <w:bCs/>
              </w:rPr>
              <w:t>Outstanding task</w:t>
            </w:r>
          </w:p>
        </w:tc>
        <w:tc>
          <w:tcPr>
            <w:tcW w:w="1300" w:type="dxa"/>
            <w:shd w:val="clear" w:color="auto" w:fill="2A4A6B"/>
            <w:tcMar>
              <w:top w:w="80" w:type="dxa"/>
              <w:left w:w="100" w:type="dxa"/>
              <w:bottom w:w="80" w:type="dxa"/>
              <w:right w:w="100" w:type="dxa"/>
            </w:tcMar>
            <w:vAlign w:val="center"/>
          </w:tcPr>
          <w:p w14:paraId="0D6850DA" w14:textId="77777777" w:rsidR="00FD4E7B" w:rsidRDefault="00000000">
            <w:r>
              <w:rPr>
                <w:rFonts w:ascii="Arial" w:eastAsia="Arial" w:hAnsi="Arial" w:cs="Arial"/>
                <w:b/>
                <w:bCs/>
              </w:rPr>
              <w:t>Status</w:t>
            </w:r>
          </w:p>
        </w:tc>
        <w:tc>
          <w:tcPr>
            <w:tcW w:w="4650" w:type="dxa"/>
            <w:shd w:val="clear" w:color="auto" w:fill="2A4A6B"/>
            <w:tcMar>
              <w:top w:w="80" w:type="dxa"/>
              <w:left w:w="100" w:type="dxa"/>
              <w:bottom w:w="80" w:type="dxa"/>
              <w:right w:w="100" w:type="dxa"/>
            </w:tcMar>
            <w:vAlign w:val="center"/>
          </w:tcPr>
          <w:p w14:paraId="75F274E3" w14:textId="77777777" w:rsidR="00FD4E7B" w:rsidRDefault="00000000">
            <w:r>
              <w:rPr>
                <w:rFonts w:ascii="Arial" w:eastAsia="Arial" w:hAnsi="Arial" w:cs="Arial"/>
                <w:b/>
                <w:bCs/>
              </w:rPr>
              <w:t>Evidence / risk</w:t>
            </w:r>
          </w:p>
        </w:tc>
      </w:tr>
      <w:tr w:rsidR="00FD4E7B" w14:paraId="67B52591" w14:textId="77777777">
        <w:tblPrEx>
          <w:tblCellMar>
            <w:top w:w="0" w:type="dxa"/>
            <w:bottom w:w="0" w:type="dxa"/>
          </w:tblCellMar>
        </w:tblPrEx>
        <w:tc>
          <w:tcPr>
            <w:tcW w:w="3000" w:type="dxa"/>
            <w:tcMar>
              <w:top w:w="80" w:type="dxa"/>
              <w:left w:w="100" w:type="dxa"/>
              <w:bottom w:w="80" w:type="dxa"/>
              <w:right w:w="100" w:type="dxa"/>
            </w:tcMar>
            <w:vAlign w:val="center"/>
          </w:tcPr>
          <w:p w14:paraId="1C0AC2EC" w14:textId="77777777" w:rsidR="00FD4E7B" w:rsidRDefault="00000000">
            <w:r>
              <w:rPr>
                <w:rFonts w:ascii="Arial" w:eastAsia="Arial" w:hAnsi="Arial" w:cs="Arial"/>
              </w:rPr>
              <w:t>Build the optimisation engine</w:t>
            </w:r>
          </w:p>
        </w:tc>
        <w:tc>
          <w:tcPr>
            <w:tcW w:w="1300" w:type="dxa"/>
            <w:tcMar>
              <w:top w:w="80" w:type="dxa"/>
              <w:left w:w="100" w:type="dxa"/>
              <w:bottom w:w="80" w:type="dxa"/>
              <w:right w:w="100" w:type="dxa"/>
            </w:tcMar>
            <w:vAlign w:val="center"/>
          </w:tcPr>
          <w:p w14:paraId="63E4A5BC" w14:textId="77777777" w:rsidR="00FD4E7B" w:rsidRDefault="00000000">
            <w:r>
              <w:rPr>
                <w:rFonts w:ascii="Arial" w:eastAsia="Arial" w:hAnsi="Arial" w:cs="Arial"/>
              </w:rPr>
              <w:t>Not Started</w:t>
            </w:r>
          </w:p>
        </w:tc>
        <w:tc>
          <w:tcPr>
            <w:tcW w:w="4650" w:type="dxa"/>
            <w:tcMar>
              <w:top w:w="80" w:type="dxa"/>
              <w:left w:w="100" w:type="dxa"/>
              <w:bottom w:w="80" w:type="dxa"/>
              <w:right w:w="100" w:type="dxa"/>
            </w:tcMar>
            <w:vAlign w:val="center"/>
          </w:tcPr>
          <w:p w14:paraId="55B6FA82" w14:textId="79998595" w:rsidR="00FD4E7B" w:rsidRDefault="00000000">
            <w:r>
              <w:rPr>
                <w:rFonts w:ascii="Arial" w:eastAsia="Arial" w:hAnsi="Arial" w:cs="Arial"/>
              </w:rPr>
              <w:t xml:space="preserve">Scoped for the final report (Section 8); needs an exact or near-exact method, not a heuristic tweak. Highest-risk item left </w:t>
            </w:r>
            <w:r w:rsidR="003E0A92">
              <w:rPr>
                <w:rFonts w:ascii="Arial" w:eastAsia="Arial" w:hAnsi="Arial" w:cs="Arial"/>
              </w:rPr>
              <w:t>-</w:t>
            </w:r>
            <w:r>
              <w:rPr>
                <w:rFonts w:ascii="Arial" w:eastAsia="Arial" w:hAnsi="Arial" w:cs="Arial"/>
              </w:rPr>
              <w:t xml:space="preserve"> no implementation yet, heuristic or otherwise, and the most technically demanding work remaining</w:t>
            </w:r>
          </w:p>
        </w:tc>
      </w:tr>
      <w:tr w:rsidR="00FD4E7B" w14:paraId="2C003733" w14:textId="77777777">
        <w:tblPrEx>
          <w:tblCellMar>
            <w:top w:w="0" w:type="dxa"/>
            <w:bottom w:w="0" w:type="dxa"/>
          </w:tblCellMar>
        </w:tblPrEx>
        <w:tc>
          <w:tcPr>
            <w:tcW w:w="3000" w:type="dxa"/>
            <w:tcMar>
              <w:top w:w="80" w:type="dxa"/>
              <w:left w:w="100" w:type="dxa"/>
              <w:bottom w:w="80" w:type="dxa"/>
              <w:right w:w="100" w:type="dxa"/>
            </w:tcMar>
            <w:vAlign w:val="center"/>
          </w:tcPr>
          <w:p w14:paraId="2B6F0B70" w14:textId="77777777" w:rsidR="00FD4E7B" w:rsidRDefault="00000000">
            <w:r>
              <w:rPr>
                <w:rFonts w:ascii="Arial" w:eastAsia="Arial" w:hAnsi="Arial" w:cs="Arial"/>
              </w:rPr>
              <w:t>Integration + test-suite for optimisation engine API</w:t>
            </w:r>
          </w:p>
        </w:tc>
        <w:tc>
          <w:tcPr>
            <w:tcW w:w="1300" w:type="dxa"/>
            <w:tcMar>
              <w:top w:w="80" w:type="dxa"/>
              <w:left w:w="100" w:type="dxa"/>
              <w:bottom w:w="80" w:type="dxa"/>
              <w:right w:w="100" w:type="dxa"/>
            </w:tcMar>
            <w:vAlign w:val="center"/>
          </w:tcPr>
          <w:p w14:paraId="5E168068" w14:textId="77777777" w:rsidR="00FD4E7B" w:rsidRDefault="00000000">
            <w:r>
              <w:rPr>
                <w:rFonts w:ascii="Arial" w:eastAsia="Arial" w:hAnsi="Arial" w:cs="Arial"/>
              </w:rPr>
              <w:t>Not Started</w:t>
            </w:r>
          </w:p>
        </w:tc>
        <w:tc>
          <w:tcPr>
            <w:tcW w:w="4650" w:type="dxa"/>
            <w:tcMar>
              <w:top w:w="80" w:type="dxa"/>
              <w:left w:w="100" w:type="dxa"/>
              <w:bottom w:w="80" w:type="dxa"/>
              <w:right w:w="100" w:type="dxa"/>
            </w:tcMar>
            <w:vAlign w:val="center"/>
          </w:tcPr>
          <w:p w14:paraId="204902E1" w14:textId="77777777" w:rsidR="00FD4E7B" w:rsidRDefault="00000000">
            <w:r>
              <w:rPr>
                <w:rFonts w:ascii="Arial" w:eastAsia="Arial" w:hAnsi="Arial" w:cs="Arial"/>
              </w:rPr>
              <w:t>Unit tests exist for the current stage (PR #9, #10, #14), but will need re-confirming once the engine's API is defined</w:t>
            </w:r>
          </w:p>
        </w:tc>
      </w:tr>
    </w:tbl>
    <w:p w14:paraId="1F52619E" w14:textId="77777777" w:rsidR="00FD4E7B" w:rsidRDefault="00000000">
      <w:pPr>
        <w:spacing w:before="80" w:after="240"/>
        <w:jc w:val="center"/>
      </w:pPr>
      <w:r>
        <w:rPr>
          <w:rFonts w:ascii="Arial" w:eastAsia="Arial" w:hAnsi="Arial" w:cs="Arial"/>
          <w:i/>
          <w:iCs/>
          <w:sz w:val="19"/>
          <w:szCs w:val="19"/>
        </w:rPr>
        <w:t>Table 3. Outstanding work as of Week 8 (mid-report milestone).</w:t>
      </w:r>
    </w:p>
    <w:p w14:paraId="3677A5D1" w14:textId="3FB1902E" w:rsidR="00FD4E7B" w:rsidRDefault="00000000">
      <w:pPr>
        <w:spacing w:after="200" w:line="480" w:lineRule="auto"/>
        <w:jc w:val="both"/>
      </w:pPr>
      <w:r>
        <w:rPr>
          <w:rFonts w:ascii="Arial" w:eastAsia="Arial" w:hAnsi="Arial" w:cs="Arial"/>
          <w:sz w:val="22"/>
          <w:szCs w:val="22"/>
        </w:rPr>
        <w:t xml:space="preserve">Both items sit with the same single workstream that delivered the completed work, so no handoff is needed. The shared repository reached this same Fast/Best heuristic stage by its own Week 4 (Pull Request #10, 4 October 2026) </w:t>
      </w:r>
      <w:r w:rsidR="003E0A92">
        <w:rPr>
          <w:rFonts w:ascii="Arial" w:eastAsia="Arial" w:hAnsi="Arial" w:cs="Arial"/>
          <w:sz w:val="22"/>
          <w:szCs w:val="22"/>
        </w:rPr>
        <w:t>-</w:t>
      </w:r>
      <w:r>
        <w:rPr>
          <w:rFonts w:ascii="Arial" w:eastAsia="Arial" w:hAnsi="Arial" w:cs="Arial"/>
          <w:sz w:val="22"/>
          <w:szCs w:val="22"/>
        </w:rPr>
        <w:t xml:space="preserve"> an external, dated record backing up this project's progress.</w:t>
      </w:r>
    </w:p>
    <w:p w14:paraId="27211E57" w14:textId="68C62E32" w:rsidR="00FD4E7B" w:rsidRDefault="00000000">
      <w:pPr>
        <w:spacing w:after="200" w:line="480" w:lineRule="auto"/>
        <w:jc w:val="both"/>
      </w:pPr>
      <w:r>
        <w:rPr>
          <w:rFonts w:ascii="Arial" w:eastAsia="Arial" w:hAnsi="Arial" w:cs="Arial"/>
          <w:sz w:val="22"/>
          <w:szCs w:val="22"/>
        </w:rPr>
        <w:t xml:space="preserve">On risk: the item most likely to affect the Week 9–12 build phase is the scope and difficulty of the optimisation engine (Section 8) </w:t>
      </w:r>
      <w:r w:rsidR="003E0A92">
        <w:rPr>
          <w:rFonts w:ascii="Arial" w:eastAsia="Arial" w:hAnsi="Arial" w:cs="Arial"/>
          <w:sz w:val="22"/>
          <w:szCs w:val="22"/>
        </w:rPr>
        <w:t>-</w:t>
      </w:r>
      <w:r>
        <w:rPr>
          <w:rFonts w:ascii="Arial" w:eastAsia="Arial" w:hAnsi="Arial" w:cs="Arial"/>
          <w:sz w:val="22"/>
          <w:szCs w:val="22"/>
        </w:rPr>
        <w:t xml:space="preserve"> starting it early rather than late is the main schedule risk to </w:t>
      </w:r>
      <w:r>
        <w:rPr>
          <w:rFonts w:ascii="Arial" w:eastAsia="Arial" w:hAnsi="Arial" w:cs="Arial"/>
          <w:sz w:val="22"/>
          <w:szCs w:val="22"/>
        </w:rPr>
        <w:lastRenderedPageBreak/>
        <w:t>manage. A secondary risk: the engine's eventual API might not match the heuristic interface the current test suite was written against, which is why integration and test-suite work is tracked as its own item rather than assumed to follow automatically.</w:t>
      </w:r>
    </w:p>
    <w:p w14:paraId="3C95BA29" w14:textId="77777777" w:rsidR="00FD4E7B" w:rsidRDefault="00000000">
      <w:r>
        <w:br w:type="page"/>
      </w:r>
    </w:p>
    <w:p w14:paraId="57138678" w14:textId="77777777" w:rsidR="00FD4E7B" w:rsidRDefault="00000000">
      <w:pPr>
        <w:pStyle w:val="Heading1"/>
        <w:spacing w:before="360" w:after="200"/>
      </w:pPr>
      <w:r>
        <w:rPr>
          <w:rFonts w:ascii="Arial" w:eastAsia="Arial" w:hAnsi="Arial" w:cs="Arial"/>
          <w:b/>
          <w:bCs/>
          <w:color w:val="1A1A1A"/>
          <w:sz w:val="30"/>
          <w:szCs w:val="30"/>
        </w:rPr>
        <w:lastRenderedPageBreak/>
        <w:t>References</w:t>
      </w:r>
    </w:p>
    <w:p w14:paraId="231A7FB0" w14:textId="77777777" w:rsidR="00FD4E7B" w:rsidRDefault="00000000">
      <w:pPr>
        <w:spacing w:after="160" w:line="480" w:lineRule="auto"/>
        <w:ind w:left="720" w:hanging="720"/>
      </w:pPr>
      <w:r>
        <w:rPr>
          <w:rFonts w:ascii="Arial" w:eastAsia="Arial" w:hAnsi="Arial" w:cs="Arial"/>
          <w:sz w:val="22"/>
          <w:szCs w:val="22"/>
        </w:rPr>
        <w:t xml:space="preserve">3DBinPacking. (2025, June 16). </w:t>
      </w:r>
      <w:proofErr w:type="spellStart"/>
      <w:r>
        <w:rPr>
          <w:rFonts w:ascii="Arial" w:eastAsia="Arial" w:hAnsi="Arial" w:cs="Arial"/>
          <w:sz w:val="22"/>
          <w:szCs w:val="22"/>
        </w:rPr>
        <w:t>Cartonization</w:t>
      </w:r>
      <w:proofErr w:type="spellEnd"/>
      <w:r>
        <w:rPr>
          <w:rFonts w:ascii="Arial" w:eastAsia="Arial" w:hAnsi="Arial" w:cs="Arial"/>
          <w:sz w:val="22"/>
          <w:szCs w:val="22"/>
        </w:rPr>
        <w:t xml:space="preserve"> software: Optimizing packaging for cost and efficiency. https://www.3dbinpacking.com/en/blog/cartonization-software-how-it-works/</w:t>
      </w:r>
    </w:p>
    <w:p w14:paraId="4AA15176" w14:textId="77777777" w:rsidR="00FD4E7B" w:rsidRDefault="00000000">
      <w:pPr>
        <w:spacing w:after="160" w:line="480" w:lineRule="auto"/>
        <w:ind w:left="720" w:hanging="720"/>
      </w:pPr>
      <w:r w:rsidRPr="00C96FFB">
        <w:rPr>
          <w:rFonts w:ascii="Arial" w:eastAsia="Arial" w:hAnsi="Arial" w:cs="Arial"/>
          <w:sz w:val="22"/>
          <w:szCs w:val="22"/>
          <w:lang w:val="pl-PL"/>
        </w:rPr>
        <w:t xml:space="preserve">Crainic, T. G., Perboli, G., &amp; Tadei, R. (2008). </w:t>
      </w:r>
      <w:r>
        <w:rPr>
          <w:rFonts w:ascii="Arial" w:eastAsia="Arial" w:hAnsi="Arial" w:cs="Arial"/>
          <w:sz w:val="22"/>
          <w:szCs w:val="22"/>
        </w:rPr>
        <w:t>Extreme point-based heuristics for three-dimensional bin packing. INFORMS Journal on Computing, 20(3), 368–384. https://doi.org/10.1287/ijoc.1070.0250</w:t>
      </w:r>
    </w:p>
    <w:p w14:paraId="29BF037F" w14:textId="77777777" w:rsidR="00FD4E7B" w:rsidRDefault="00000000">
      <w:pPr>
        <w:spacing w:after="160" w:line="480" w:lineRule="auto"/>
        <w:ind w:left="720" w:hanging="720"/>
      </w:pPr>
      <w:r>
        <w:rPr>
          <w:rFonts w:ascii="Arial" w:eastAsia="Arial" w:hAnsi="Arial" w:cs="Arial"/>
          <w:sz w:val="22"/>
          <w:szCs w:val="22"/>
        </w:rPr>
        <w:t>Enterprise Singapore. (n.d.). iHub Solutions: For local logistics SME, going digital is logical. Retrieved October 2026, from https://www.enterprisesg.gov.sg/resources/inspiring-stories/ihub-solutions</w:t>
      </w:r>
    </w:p>
    <w:p w14:paraId="1FF5DAA2" w14:textId="77777777" w:rsidR="00FD4E7B" w:rsidRDefault="00000000">
      <w:pPr>
        <w:spacing w:after="160" w:line="480" w:lineRule="auto"/>
        <w:ind w:left="720" w:hanging="720"/>
      </w:pPr>
      <w:r>
        <w:rPr>
          <w:rFonts w:ascii="Arial" w:eastAsia="Arial" w:hAnsi="Arial" w:cs="Arial"/>
          <w:sz w:val="22"/>
          <w:szCs w:val="22"/>
        </w:rPr>
        <w:t>iHub Solutions. (n.d.-a). About us [LinkedIn company page]. Retrieved October 2026, from https://sg.linkedin.com/company/ihub-solutions</w:t>
      </w:r>
    </w:p>
    <w:p w14:paraId="35D134DF" w14:textId="77777777" w:rsidR="00FD4E7B" w:rsidRDefault="00000000">
      <w:pPr>
        <w:spacing w:after="160" w:line="480" w:lineRule="auto"/>
        <w:ind w:left="720" w:hanging="720"/>
      </w:pPr>
      <w:r>
        <w:rPr>
          <w:rFonts w:ascii="Arial" w:eastAsia="Arial" w:hAnsi="Arial" w:cs="Arial"/>
          <w:sz w:val="22"/>
          <w:szCs w:val="22"/>
        </w:rPr>
        <w:t>iHub Solutions. (n.d.-b). 3PL fulfilment in Singapore. Retrieved October 2026, from https://ihubsolutions.com/blog/3pl-fulfilment-singapore</w:t>
      </w:r>
    </w:p>
    <w:p w14:paraId="35E61572" w14:textId="77777777" w:rsidR="00FD4E7B" w:rsidRDefault="00000000">
      <w:pPr>
        <w:spacing w:after="160" w:line="480" w:lineRule="auto"/>
        <w:ind w:left="720" w:hanging="720"/>
      </w:pPr>
      <w:r>
        <w:rPr>
          <w:rFonts w:ascii="Arial" w:eastAsia="Arial" w:hAnsi="Arial" w:cs="Arial"/>
          <w:sz w:val="22"/>
          <w:szCs w:val="22"/>
        </w:rPr>
        <w:t>iHub Solutions. (n.d.-c). Redefining logistics with AI and ML. Retrieved October 2026, from https://ihubsolutions.com/ai-machine-learning</w:t>
      </w:r>
    </w:p>
    <w:p w14:paraId="56D1865D" w14:textId="77777777" w:rsidR="00FD4E7B" w:rsidRDefault="00000000">
      <w:pPr>
        <w:spacing w:after="160" w:line="480" w:lineRule="auto"/>
        <w:ind w:left="720" w:hanging="720"/>
      </w:pPr>
      <w:r>
        <w:rPr>
          <w:rFonts w:ascii="Arial" w:eastAsia="Arial" w:hAnsi="Arial" w:cs="Arial"/>
          <w:sz w:val="22"/>
          <w:szCs w:val="22"/>
        </w:rPr>
        <w:t>Logistics Viewpoints. (2025, October 30). High impact ways to optimize your shipping operations: Empower your team, exceed expectations, and transform challenges into opportunities. https://logisticsviewpoints.com/2025/10/30/high-impact-ways-to-optimize-your-shipping-operations-empower-your-team-exceed-expectations-and-transform-challenges-into-opportunities/</w:t>
      </w:r>
    </w:p>
    <w:p w14:paraId="3F1C705B" w14:textId="77777777" w:rsidR="00FD4E7B" w:rsidRDefault="00000000">
      <w:pPr>
        <w:spacing w:after="160" w:line="480" w:lineRule="auto"/>
        <w:ind w:left="720" w:hanging="720"/>
      </w:pPr>
      <w:r>
        <w:rPr>
          <w:rFonts w:ascii="Arial" w:eastAsia="Arial" w:hAnsi="Arial" w:cs="Arial"/>
          <w:sz w:val="22"/>
          <w:szCs w:val="22"/>
        </w:rPr>
        <w:t>Lodi, A., Martello, S., &amp; Vigo, D. (2002). Heuristic algorithms for the three-dimensional bin packing problem. European Journal of Operational Research, 141(2), 410–420. https://doi.org/10.1016/S0377-2217(02)00134-0</w:t>
      </w:r>
    </w:p>
    <w:p w14:paraId="410F3357" w14:textId="77777777" w:rsidR="00FD4E7B" w:rsidRDefault="00000000">
      <w:pPr>
        <w:spacing w:after="160" w:line="480" w:lineRule="auto"/>
        <w:ind w:left="720" w:hanging="720"/>
      </w:pPr>
      <w:r>
        <w:rPr>
          <w:rFonts w:ascii="Arial" w:eastAsia="Arial" w:hAnsi="Arial" w:cs="Arial"/>
          <w:sz w:val="22"/>
          <w:szCs w:val="22"/>
        </w:rPr>
        <w:lastRenderedPageBreak/>
        <w:t xml:space="preserve">Martello, S., </w:t>
      </w:r>
      <w:proofErr w:type="spellStart"/>
      <w:r>
        <w:rPr>
          <w:rFonts w:ascii="Arial" w:eastAsia="Arial" w:hAnsi="Arial" w:cs="Arial"/>
          <w:sz w:val="22"/>
          <w:szCs w:val="22"/>
        </w:rPr>
        <w:t>Pisinger</w:t>
      </w:r>
      <w:proofErr w:type="spellEnd"/>
      <w:r>
        <w:rPr>
          <w:rFonts w:ascii="Arial" w:eastAsia="Arial" w:hAnsi="Arial" w:cs="Arial"/>
          <w:sz w:val="22"/>
          <w:szCs w:val="22"/>
        </w:rPr>
        <w:t>, D., &amp; Vigo, D. (2000). The three-dimensional bin packing problem. Operations Research, 48(2), 256–267. https://doi.org/10.1287/opre.48.2.256.12386</w:t>
      </w:r>
    </w:p>
    <w:p w14:paraId="7F317A1A" w14:textId="77777777" w:rsidR="00FD4E7B" w:rsidRDefault="00000000">
      <w:pPr>
        <w:spacing w:after="160" w:line="480" w:lineRule="auto"/>
        <w:ind w:left="720" w:hanging="720"/>
      </w:pPr>
      <w:proofErr w:type="spellStart"/>
      <w:r>
        <w:rPr>
          <w:rFonts w:ascii="Arial" w:eastAsia="Arial" w:hAnsi="Arial" w:cs="Arial"/>
          <w:sz w:val="22"/>
          <w:szCs w:val="22"/>
        </w:rPr>
        <w:t>PackChain</w:t>
      </w:r>
      <w:proofErr w:type="spellEnd"/>
      <w:r>
        <w:rPr>
          <w:rFonts w:ascii="Arial" w:eastAsia="Arial" w:hAnsi="Arial" w:cs="Arial"/>
          <w:sz w:val="22"/>
          <w:szCs w:val="22"/>
        </w:rPr>
        <w:t xml:space="preserve">. (n.d.). </w:t>
      </w:r>
      <w:proofErr w:type="spellStart"/>
      <w:r>
        <w:rPr>
          <w:rFonts w:ascii="Arial" w:eastAsia="Arial" w:hAnsi="Arial" w:cs="Arial"/>
          <w:sz w:val="22"/>
          <w:szCs w:val="22"/>
        </w:rPr>
        <w:t>Cartonization</w:t>
      </w:r>
      <w:proofErr w:type="spellEnd"/>
      <w:r>
        <w:rPr>
          <w:rFonts w:ascii="Arial" w:eastAsia="Arial" w:hAnsi="Arial" w:cs="Arial"/>
          <w:sz w:val="22"/>
          <w:szCs w:val="22"/>
        </w:rPr>
        <w:t xml:space="preserve"> software. Retrieved October 2026, from https://packchain.io/cartonization-software/</w:t>
      </w:r>
    </w:p>
    <w:p w14:paraId="28262E0F" w14:textId="77777777" w:rsidR="00FD4E7B" w:rsidRDefault="00000000">
      <w:pPr>
        <w:spacing w:after="160" w:line="480" w:lineRule="auto"/>
        <w:ind w:left="720" w:hanging="720"/>
      </w:pPr>
      <w:proofErr w:type="spellStart"/>
      <w:r>
        <w:rPr>
          <w:rFonts w:ascii="Arial" w:eastAsia="Arial" w:hAnsi="Arial" w:cs="Arial"/>
          <w:sz w:val="22"/>
          <w:szCs w:val="22"/>
        </w:rPr>
        <w:t>Tracxn</w:t>
      </w:r>
      <w:proofErr w:type="spellEnd"/>
      <w:r>
        <w:rPr>
          <w:rFonts w:ascii="Arial" w:eastAsia="Arial" w:hAnsi="Arial" w:cs="Arial"/>
          <w:sz w:val="22"/>
          <w:szCs w:val="22"/>
        </w:rPr>
        <w:t>. (n.d.). iHub Solutions: Company profile. Retrieved October 2026, from https://tracxn.com/d/companies/ihub-solutions/__aaCZi1l-GdXjZ4q9aeGUWtYazoIriUNaEaMdHLD1aPk</w:t>
      </w:r>
    </w:p>
    <w:p w14:paraId="5BC1BD9B" w14:textId="77777777" w:rsidR="00FD4E7B" w:rsidRDefault="00000000">
      <w:pPr>
        <w:spacing w:after="160" w:line="480" w:lineRule="auto"/>
        <w:ind w:left="720" w:hanging="720"/>
      </w:pPr>
      <w:proofErr w:type="spellStart"/>
      <w:r>
        <w:rPr>
          <w:rFonts w:ascii="Arial" w:eastAsia="Arial" w:hAnsi="Arial" w:cs="Arial"/>
          <w:sz w:val="22"/>
          <w:szCs w:val="22"/>
        </w:rPr>
        <w:t>Voycepeh</w:t>
      </w:r>
      <w:proofErr w:type="spellEnd"/>
      <w:r>
        <w:rPr>
          <w:rFonts w:ascii="Arial" w:eastAsia="Arial" w:hAnsi="Arial" w:cs="Arial"/>
          <w:sz w:val="22"/>
          <w:szCs w:val="22"/>
        </w:rPr>
        <w:t xml:space="preserve">. (2026). </w:t>
      </w:r>
      <w:proofErr w:type="spellStart"/>
      <w:r>
        <w:rPr>
          <w:rFonts w:ascii="Arial" w:eastAsia="Arial" w:hAnsi="Arial" w:cs="Arial"/>
          <w:sz w:val="22"/>
          <w:szCs w:val="22"/>
        </w:rPr>
        <w:t>ihubsolutions</w:t>
      </w:r>
      <w:proofErr w:type="spellEnd"/>
      <w:r>
        <w:rPr>
          <w:rFonts w:ascii="Arial" w:eastAsia="Arial" w:hAnsi="Arial" w:cs="Arial"/>
          <w:sz w:val="22"/>
          <w:szCs w:val="22"/>
        </w:rPr>
        <w:t>-capstone-project [Source code repository]. GitHub. https://github.com/Voycepeh/ihubsolutions-capstone-project</w:t>
      </w:r>
    </w:p>
    <w:p w14:paraId="3293BA14" w14:textId="77777777" w:rsidR="00FD4E7B" w:rsidRDefault="00000000">
      <w:r>
        <w:br w:type="page"/>
      </w:r>
    </w:p>
    <w:p w14:paraId="685651C7" w14:textId="77777777" w:rsidR="00FD4E7B" w:rsidRDefault="00000000">
      <w:pPr>
        <w:pStyle w:val="Heading1"/>
        <w:spacing w:before="360" w:after="200"/>
      </w:pPr>
      <w:r>
        <w:rPr>
          <w:rFonts w:ascii="Arial" w:eastAsia="Arial" w:hAnsi="Arial" w:cs="Arial"/>
          <w:b/>
          <w:bCs/>
          <w:color w:val="1A1A1A"/>
          <w:sz w:val="30"/>
          <w:szCs w:val="30"/>
        </w:rPr>
        <w:lastRenderedPageBreak/>
        <w:t>Appendices</w:t>
      </w:r>
    </w:p>
    <w:p w14:paraId="528C2831" w14:textId="77777777" w:rsidR="00FD4E7B" w:rsidRDefault="00000000">
      <w:pPr>
        <w:pStyle w:val="Heading2"/>
        <w:spacing w:before="360" w:after="200"/>
      </w:pPr>
      <w:r>
        <w:rPr>
          <w:rFonts w:ascii="Arial" w:eastAsia="Arial" w:hAnsi="Arial" w:cs="Arial"/>
          <w:b/>
          <w:bCs/>
          <w:color w:val="1A1A1A"/>
        </w:rPr>
        <w:t>Appendix A: Data Source</w:t>
      </w:r>
    </w:p>
    <w:p w14:paraId="65EEC507" w14:textId="745F425F" w:rsidR="00FD4E7B" w:rsidRDefault="00000000">
      <w:pPr>
        <w:spacing w:after="200" w:line="480" w:lineRule="auto"/>
        <w:jc w:val="both"/>
      </w:pPr>
      <w:r>
        <w:rPr>
          <w:rFonts w:ascii="Arial" w:eastAsia="Arial" w:hAnsi="Arial" w:cs="Arial"/>
          <w:sz w:val="22"/>
          <w:szCs w:val="22"/>
        </w:rPr>
        <w:t>Primary dataset: data_sample_v</w:t>
      </w:r>
      <w:proofErr w:type="gramStart"/>
      <w:r>
        <w:rPr>
          <w:rFonts w:ascii="Arial" w:eastAsia="Arial" w:hAnsi="Arial" w:cs="Arial"/>
          <w:sz w:val="22"/>
          <w:szCs w:val="22"/>
        </w:rPr>
        <w:t>1.json</w:t>
      </w:r>
      <w:proofErr w:type="gramEnd"/>
      <w:r>
        <w:rPr>
          <w:rFonts w:ascii="Arial" w:eastAsia="Arial" w:hAnsi="Arial" w:cs="Arial"/>
          <w:sz w:val="22"/>
          <w:szCs w:val="22"/>
        </w:rPr>
        <w:t xml:space="preserve">, 2,000 masked iHub order records, held under data/raw/ in the shared repository. Units are millimetres for dimensions and kilograms for weight. The carton catalogue has 6 fixed types </w:t>
      </w:r>
      <w:r w:rsidR="003E0A92">
        <w:rPr>
          <w:rFonts w:ascii="Arial" w:eastAsia="Arial" w:hAnsi="Arial" w:cs="Arial"/>
          <w:sz w:val="22"/>
          <w:szCs w:val="22"/>
        </w:rPr>
        <w:t>-</w:t>
      </w:r>
      <w:r>
        <w:rPr>
          <w:rFonts w:ascii="Arial" w:eastAsia="Arial" w:hAnsi="Arial" w:cs="Arial"/>
          <w:sz w:val="22"/>
          <w:szCs w:val="22"/>
        </w:rPr>
        <w:t xml:space="preserve"> Box2, Box4, Box5, Box6, Box8, Box9. MVP Plan.md references a 7th, Box3, not actually present in the sampled catalogue </w:t>
      </w:r>
      <w:r w:rsidR="003E0A92">
        <w:rPr>
          <w:rFonts w:ascii="Arial" w:eastAsia="Arial" w:hAnsi="Arial" w:cs="Arial"/>
          <w:sz w:val="22"/>
          <w:szCs w:val="22"/>
        </w:rPr>
        <w:t>-</w:t>
      </w:r>
      <w:r>
        <w:rPr>
          <w:rFonts w:ascii="Arial" w:eastAsia="Arial" w:hAnsi="Arial" w:cs="Arial"/>
          <w:sz w:val="22"/>
          <w:szCs w:val="22"/>
        </w:rPr>
        <w:t xml:space="preserve"> a discrepancy first noticed in Week 1 and still open.</w:t>
      </w:r>
    </w:p>
    <w:p w14:paraId="14098698" w14:textId="7085301F" w:rsidR="00FD4E7B" w:rsidRDefault="00000000">
      <w:pPr>
        <w:pStyle w:val="Heading2"/>
        <w:spacing w:before="360" w:after="200"/>
      </w:pPr>
      <w:r>
        <w:rPr>
          <w:rFonts w:ascii="Arial" w:eastAsia="Arial" w:hAnsi="Arial" w:cs="Arial"/>
          <w:b/>
          <w:bCs/>
          <w:color w:val="1A1A1A"/>
        </w:rPr>
        <w:t xml:space="preserve">Appendix B: Solver Architecture </w:t>
      </w:r>
      <w:r w:rsidR="003E0A92">
        <w:rPr>
          <w:rFonts w:ascii="Arial" w:eastAsia="Arial" w:hAnsi="Arial" w:cs="Arial"/>
          <w:b/>
          <w:bCs/>
          <w:color w:val="1A1A1A"/>
        </w:rPr>
        <w:t>-</w:t>
      </w:r>
      <w:r>
        <w:rPr>
          <w:rFonts w:ascii="Arial" w:eastAsia="Arial" w:hAnsi="Arial" w:cs="Arial"/>
          <w:b/>
          <w:bCs/>
          <w:color w:val="1A1A1A"/>
        </w:rPr>
        <w:t xml:space="preserve"> Author's Standalone Engine</w:t>
      </w:r>
    </w:p>
    <w:p w14:paraId="4C7D4205" w14:textId="77777777" w:rsidR="00FD4E7B" w:rsidRDefault="00000000">
      <w:pPr>
        <w:spacing w:after="200" w:line="480" w:lineRule="auto"/>
        <w:jc w:val="both"/>
      </w:pPr>
      <w:r>
        <w:rPr>
          <w:rFonts w:ascii="Arial" w:eastAsia="Arial" w:hAnsi="Arial" w:cs="Arial"/>
          <w:sz w:val="22"/>
          <w:szCs w:val="22"/>
        </w:rPr>
        <w:t>Figure B1 shows the control flow of the standalone extreme-point packing engine (</w:t>
      </w:r>
      <w:proofErr w:type="spellStart"/>
      <w:r>
        <w:rPr>
          <w:rFonts w:ascii="Arial" w:eastAsia="Arial" w:hAnsi="Arial" w:cs="Arial"/>
          <w:sz w:val="22"/>
          <w:szCs w:val="22"/>
        </w:rPr>
        <w:t>pack_</w:t>
      </w:r>
      <w:proofErr w:type="gramStart"/>
      <w:r>
        <w:rPr>
          <w:rFonts w:ascii="Arial" w:eastAsia="Arial" w:hAnsi="Arial" w:cs="Arial"/>
          <w:sz w:val="22"/>
          <w:szCs w:val="22"/>
        </w:rPr>
        <w:t>order</w:t>
      </w:r>
      <w:proofErr w:type="spellEnd"/>
      <w:r>
        <w:rPr>
          <w:rFonts w:ascii="Arial" w:eastAsia="Arial" w:hAnsi="Arial" w:cs="Arial"/>
          <w:sz w:val="22"/>
          <w:szCs w:val="22"/>
        </w:rPr>
        <w:t>(</w:t>
      </w:r>
      <w:proofErr w:type="gramEnd"/>
      <w:r>
        <w:rPr>
          <w:rFonts w:ascii="Arial" w:eastAsia="Arial" w:hAnsi="Arial" w:cs="Arial"/>
          <w:sz w:val="22"/>
          <w:szCs w:val="22"/>
        </w:rPr>
        <w:t>)), described in Section 6.2: expand quantities, filter out impossible items, attempt single-box placement across every catalogue box, and branch into a recursive multi-box search when no single box works, before compiling the final 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4E7B" w14:paraId="59E1FBAF" w14:textId="77777777">
        <w:tblPrEx>
          <w:tblCellMar>
            <w:top w:w="0" w:type="dxa"/>
            <w:bottom w:w="0" w:type="dxa"/>
          </w:tblCellMar>
        </w:tblPrEx>
        <w:tc>
          <w:tcPr>
            <w:tcW w:w="9350" w:type="dxa"/>
            <w:tcBorders>
              <w:top w:val="dashed" w:sz="6" w:space="0" w:color="999999"/>
              <w:left w:val="dashed" w:sz="6" w:space="0" w:color="999999"/>
              <w:bottom w:val="dashed" w:sz="6" w:space="0" w:color="999999"/>
              <w:right w:val="dashed" w:sz="6" w:space="0" w:color="999999"/>
            </w:tcBorders>
            <w:shd w:val="clear" w:color="auto" w:fill="F7F6F2"/>
            <w:tcMar>
              <w:top w:w="200" w:type="dxa"/>
              <w:left w:w="200" w:type="dxa"/>
              <w:bottom w:w="200" w:type="dxa"/>
              <w:right w:w="200" w:type="dxa"/>
            </w:tcMar>
          </w:tcPr>
          <w:p w14:paraId="7C5A9A9F" w14:textId="0C05682F" w:rsidR="00FD4E7B" w:rsidRDefault="00000000">
            <w:pPr>
              <w:spacing w:before="160"/>
              <w:jc w:val="center"/>
            </w:pPr>
            <w:r>
              <w:rPr>
                <w:rFonts w:ascii="Arial" w:eastAsia="Arial" w:hAnsi="Arial" w:cs="Arial"/>
                <w:b/>
                <w:bCs/>
                <w:color w:val="666666"/>
              </w:rPr>
              <w:t xml:space="preserve">[ Figure B1 </w:t>
            </w:r>
            <w:r w:rsidR="003E0A92">
              <w:rPr>
                <w:rFonts w:ascii="Arial" w:eastAsia="Arial" w:hAnsi="Arial" w:cs="Arial"/>
                <w:b/>
                <w:bCs/>
                <w:color w:val="666666"/>
              </w:rPr>
              <w:t>-</w:t>
            </w:r>
            <w:r>
              <w:rPr>
                <w:rFonts w:ascii="Arial" w:eastAsia="Arial" w:hAnsi="Arial" w:cs="Arial"/>
                <w:b/>
                <w:bCs/>
                <w:color w:val="666666"/>
              </w:rPr>
              <w:t xml:space="preserve"> insert </w:t>
            </w:r>
            <w:proofErr w:type="gramStart"/>
            <w:r>
              <w:rPr>
                <w:rFonts w:ascii="Arial" w:eastAsia="Arial" w:hAnsi="Arial" w:cs="Arial"/>
                <w:b/>
                <w:bCs/>
                <w:color w:val="666666"/>
              </w:rPr>
              <w:t>here ]</w:t>
            </w:r>
            <w:proofErr w:type="gramEnd"/>
          </w:p>
          <w:p w14:paraId="3AEAB9AD" w14:textId="77777777" w:rsidR="00FD4E7B" w:rsidRDefault="00000000">
            <w:pPr>
              <w:spacing w:before="60" w:after="160"/>
              <w:jc w:val="center"/>
            </w:pPr>
            <w:r>
              <w:rPr>
                <w:rFonts w:ascii="Arial" w:eastAsia="Arial" w:hAnsi="Arial" w:cs="Arial"/>
                <w:i/>
                <w:iCs/>
                <w:color w:val="888888"/>
                <w:sz w:val="19"/>
                <w:szCs w:val="19"/>
              </w:rPr>
              <w:t xml:space="preserve">Control flow of the standalone </w:t>
            </w:r>
            <w:proofErr w:type="spellStart"/>
            <w:r>
              <w:rPr>
                <w:rFonts w:ascii="Arial" w:eastAsia="Arial" w:hAnsi="Arial" w:cs="Arial"/>
                <w:i/>
                <w:iCs/>
                <w:color w:val="888888"/>
                <w:sz w:val="19"/>
                <w:szCs w:val="19"/>
              </w:rPr>
              <w:t>pack_</w:t>
            </w:r>
            <w:proofErr w:type="gramStart"/>
            <w:r>
              <w:rPr>
                <w:rFonts w:ascii="Arial" w:eastAsia="Arial" w:hAnsi="Arial" w:cs="Arial"/>
                <w:i/>
                <w:iCs/>
                <w:color w:val="888888"/>
                <w:sz w:val="19"/>
                <w:szCs w:val="19"/>
              </w:rPr>
              <w:t>order</w:t>
            </w:r>
            <w:proofErr w:type="spellEnd"/>
            <w:r>
              <w:rPr>
                <w:rFonts w:ascii="Arial" w:eastAsia="Arial" w:hAnsi="Arial" w:cs="Arial"/>
                <w:i/>
                <w:iCs/>
                <w:color w:val="888888"/>
                <w:sz w:val="19"/>
                <w:szCs w:val="19"/>
              </w:rPr>
              <w:t>(</w:t>
            </w:r>
            <w:proofErr w:type="gramEnd"/>
            <w:r>
              <w:rPr>
                <w:rFonts w:ascii="Arial" w:eastAsia="Arial" w:hAnsi="Arial" w:cs="Arial"/>
                <w:i/>
                <w:iCs/>
                <w:color w:val="888888"/>
                <w:sz w:val="19"/>
                <w:szCs w:val="19"/>
              </w:rPr>
              <w:t>) engine</w:t>
            </w:r>
          </w:p>
        </w:tc>
      </w:tr>
    </w:tbl>
    <w:p w14:paraId="4D81609C" w14:textId="77777777" w:rsidR="00FD4E7B" w:rsidRDefault="00000000">
      <w:pPr>
        <w:spacing w:before="80" w:after="240"/>
        <w:jc w:val="center"/>
      </w:pPr>
      <w:r>
        <w:rPr>
          <w:rFonts w:ascii="Arial" w:eastAsia="Arial" w:hAnsi="Arial" w:cs="Arial"/>
          <w:i/>
          <w:iCs/>
          <w:sz w:val="19"/>
          <w:szCs w:val="19"/>
        </w:rPr>
        <w:t xml:space="preserve">Figure B1. Control flow of the author's standalone </w:t>
      </w:r>
      <w:proofErr w:type="spellStart"/>
      <w:r>
        <w:rPr>
          <w:rFonts w:ascii="Arial" w:eastAsia="Arial" w:hAnsi="Arial" w:cs="Arial"/>
          <w:i/>
          <w:iCs/>
          <w:sz w:val="19"/>
          <w:szCs w:val="19"/>
        </w:rPr>
        <w:t>pack_</w:t>
      </w:r>
      <w:proofErr w:type="gramStart"/>
      <w:r>
        <w:rPr>
          <w:rFonts w:ascii="Arial" w:eastAsia="Arial" w:hAnsi="Arial" w:cs="Arial"/>
          <w:i/>
          <w:iCs/>
          <w:sz w:val="19"/>
          <w:szCs w:val="19"/>
        </w:rPr>
        <w:t>order</w:t>
      </w:r>
      <w:proofErr w:type="spellEnd"/>
      <w:r>
        <w:rPr>
          <w:rFonts w:ascii="Arial" w:eastAsia="Arial" w:hAnsi="Arial" w:cs="Arial"/>
          <w:i/>
          <w:iCs/>
          <w:sz w:val="19"/>
          <w:szCs w:val="19"/>
        </w:rPr>
        <w:t>(</w:t>
      </w:r>
      <w:proofErr w:type="gramEnd"/>
      <w:r>
        <w:rPr>
          <w:rFonts w:ascii="Arial" w:eastAsia="Arial" w:hAnsi="Arial" w:cs="Arial"/>
          <w:i/>
          <w:iCs/>
          <w:sz w:val="19"/>
          <w:szCs w:val="19"/>
        </w:rPr>
        <w:t>) engine.</w:t>
      </w:r>
    </w:p>
    <w:p w14:paraId="77641A0F" w14:textId="78F4A400" w:rsidR="00FD4E7B" w:rsidRDefault="00000000">
      <w:pPr>
        <w:spacing w:after="200" w:line="480" w:lineRule="auto"/>
        <w:jc w:val="both"/>
      </w:pPr>
      <w:r>
        <w:rPr>
          <w:rFonts w:ascii="Arial" w:eastAsia="Arial" w:hAnsi="Arial" w:cs="Arial"/>
          <w:sz w:val="22"/>
          <w:szCs w:val="22"/>
        </w:rPr>
        <w:t xml:space="preserve">The shared repository's README.md documents a closely related, independently authored flowchart that matches this report's scope: order, catalogue, and rules enter a pre-check on quantity, volume, and weight (the volumetric baseline, Section 6.2) </w:t>
      </w:r>
      <w:r w:rsidR="003E0A92">
        <w:rPr>
          <w:rFonts w:ascii="Arial" w:eastAsia="Arial" w:hAnsi="Arial" w:cs="Arial"/>
          <w:sz w:val="22"/>
          <w:szCs w:val="22"/>
        </w:rPr>
        <w:t>-</w:t>
      </w:r>
      <w:r>
        <w:rPr>
          <w:rFonts w:ascii="Arial" w:eastAsia="Arial" w:hAnsi="Arial" w:cs="Arial"/>
          <w:sz w:val="22"/>
          <w:szCs w:val="22"/>
        </w:rPr>
        <w:t xml:space="preserve"> "total volume and weight can eliminate cartons that are definitely impossible, but they cannot prove that items physically fit" (</w:t>
      </w:r>
      <w:proofErr w:type="spellStart"/>
      <w:r>
        <w:rPr>
          <w:rFonts w:ascii="Arial" w:eastAsia="Arial" w:hAnsi="Arial" w:cs="Arial"/>
          <w:sz w:val="22"/>
          <w:szCs w:val="22"/>
        </w:rPr>
        <w:t>Voycepeh</w:t>
      </w:r>
      <w:proofErr w:type="spellEnd"/>
      <w:r>
        <w:rPr>
          <w:rFonts w:ascii="Arial" w:eastAsia="Arial" w:hAnsi="Arial" w:cs="Arial"/>
          <w:sz w:val="22"/>
          <w:szCs w:val="22"/>
        </w:rPr>
        <w:t xml:space="preserve">, 2026) </w:t>
      </w:r>
      <w:r w:rsidR="003E0A92">
        <w:rPr>
          <w:rFonts w:ascii="Arial" w:eastAsia="Arial" w:hAnsi="Arial" w:cs="Arial"/>
          <w:sz w:val="22"/>
          <w:szCs w:val="22"/>
        </w:rPr>
        <w:t>-</w:t>
      </w:r>
      <w:r>
        <w:rPr>
          <w:rFonts w:ascii="Arial" w:eastAsia="Arial" w:hAnsi="Arial" w:cs="Arial"/>
          <w:sz w:val="22"/>
          <w:szCs w:val="22"/>
        </w:rPr>
        <w:t xml:space="preserve"> impossible boxes are filtered on weight, fill, buffer, and dimensions, the smallest suitable box is tried first, and 3D placement tests XYZ positions and orientations. Extending this flow for multi-box carton-count minimisation is final report work (Section 8).</w:t>
      </w:r>
    </w:p>
    <w:p w14:paraId="5648A609" w14:textId="77777777" w:rsidR="00FD4E7B" w:rsidRDefault="00000000">
      <w:pPr>
        <w:pStyle w:val="Heading2"/>
        <w:spacing w:before="360" w:after="200"/>
      </w:pPr>
      <w:r>
        <w:rPr>
          <w:rFonts w:ascii="Arial" w:eastAsia="Arial" w:hAnsi="Arial" w:cs="Arial"/>
          <w:b/>
          <w:bCs/>
          <w:color w:val="1A1A1A"/>
        </w:rPr>
        <w:t>Appendix C: Evaluation Harness Output Columns</w:t>
      </w:r>
    </w:p>
    <w:p w14:paraId="3C169963" w14:textId="4E4F8AF0" w:rsidR="00FD4E7B" w:rsidRDefault="00000000">
      <w:pPr>
        <w:spacing w:after="200" w:line="480" w:lineRule="auto"/>
        <w:jc w:val="both"/>
      </w:pPr>
      <w:proofErr w:type="spellStart"/>
      <w:r>
        <w:rPr>
          <w:rFonts w:ascii="Arial" w:eastAsia="Arial" w:hAnsi="Arial" w:cs="Arial"/>
          <w:sz w:val="22"/>
          <w:szCs w:val="22"/>
        </w:rPr>
        <w:lastRenderedPageBreak/>
        <w:t>order_id</w:t>
      </w:r>
      <w:proofErr w:type="spellEnd"/>
      <w:r>
        <w:rPr>
          <w:rFonts w:ascii="Arial" w:eastAsia="Arial" w:hAnsi="Arial" w:cs="Arial"/>
          <w:sz w:val="22"/>
          <w:szCs w:val="22"/>
        </w:rPr>
        <w:t xml:space="preserve">, </w:t>
      </w:r>
      <w:proofErr w:type="spellStart"/>
      <w:r>
        <w:rPr>
          <w:rFonts w:ascii="Arial" w:eastAsia="Arial" w:hAnsi="Arial" w:cs="Arial"/>
          <w:sz w:val="22"/>
          <w:szCs w:val="22"/>
        </w:rPr>
        <w:t>item_count</w:t>
      </w:r>
      <w:proofErr w:type="spellEnd"/>
      <w:r>
        <w:rPr>
          <w:rFonts w:ascii="Arial" w:eastAsia="Arial" w:hAnsi="Arial" w:cs="Arial"/>
          <w:sz w:val="22"/>
          <w:szCs w:val="22"/>
        </w:rPr>
        <w:t xml:space="preserve">, status (PACKED/PARTIAL/FAILED), </w:t>
      </w:r>
      <w:proofErr w:type="spellStart"/>
      <w:r>
        <w:rPr>
          <w:rFonts w:ascii="Arial" w:eastAsia="Arial" w:hAnsi="Arial" w:cs="Arial"/>
          <w:sz w:val="22"/>
          <w:szCs w:val="22"/>
        </w:rPr>
        <w:t>cartons_ours</w:t>
      </w:r>
      <w:proofErr w:type="spellEnd"/>
      <w:r>
        <w:rPr>
          <w:rFonts w:ascii="Arial" w:eastAsia="Arial" w:hAnsi="Arial" w:cs="Arial"/>
          <w:sz w:val="22"/>
          <w:szCs w:val="22"/>
        </w:rPr>
        <w:t xml:space="preserve">, </w:t>
      </w:r>
      <w:proofErr w:type="spellStart"/>
      <w:r>
        <w:rPr>
          <w:rFonts w:ascii="Arial" w:eastAsia="Arial" w:hAnsi="Arial" w:cs="Arial"/>
          <w:sz w:val="22"/>
          <w:szCs w:val="22"/>
        </w:rPr>
        <w:t>cartons_hist</w:t>
      </w:r>
      <w:proofErr w:type="spellEnd"/>
      <w:r>
        <w:rPr>
          <w:rFonts w:ascii="Arial" w:eastAsia="Arial" w:hAnsi="Arial" w:cs="Arial"/>
          <w:sz w:val="22"/>
          <w:szCs w:val="22"/>
        </w:rPr>
        <w:t xml:space="preserve">, </w:t>
      </w:r>
      <w:proofErr w:type="spellStart"/>
      <w:r>
        <w:rPr>
          <w:rFonts w:ascii="Arial" w:eastAsia="Arial" w:hAnsi="Arial" w:cs="Arial"/>
          <w:sz w:val="22"/>
          <w:szCs w:val="22"/>
        </w:rPr>
        <w:t>boxes_ours</w:t>
      </w:r>
      <w:proofErr w:type="spellEnd"/>
      <w:r>
        <w:rPr>
          <w:rFonts w:ascii="Arial" w:eastAsia="Arial" w:hAnsi="Arial" w:cs="Arial"/>
          <w:sz w:val="22"/>
          <w:szCs w:val="22"/>
        </w:rPr>
        <w:t xml:space="preserve">, </w:t>
      </w:r>
      <w:proofErr w:type="spellStart"/>
      <w:r>
        <w:rPr>
          <w:rFonts w:ascii="Arial" w:eastAsia="Arial" w:hAnsi="Arial" w:cs="Arial"/>
          <w:sz w:val="22"/>
          <w:szCs w:val="22"/>
        </w:rPr>
        <w:t>boxes_hist</w:t>
      </w:r>
      <w:proofErr w:type="spellEnd"/>
      <w:r>
        <w:rPr>
          <w:rFonts w:ascii="Arial" w:eastAsia="Arial" w:hAnsi="Arial" w:cs="Arial"/>
          <w:sz w:val="22"/>
          <w:szCs w:val="22"/>
        </w:rPr>
        <w:t xml:space="preserve">, </w:t>
      </w:r>
      <w:proofErr w:type="spellStart"/>
      <w:r>
        <w:rPr>
          <w:rFonts w:ascii="Arial" w:eastAsia="Arial" w:hAnsi="Arial" w:cs="Arial"/>
          <w:sz w:val="22"/>
          <w:szCs w:val="22"/>
        </w:rPr>
        <w:t>carton_volume_ours_L</w:t>
      </w:r>
      <w:proofErr w:type="spellEnd"/>
      <w:r>
        <w:rPr>
          <w:rFonts w:ascii="Arial" w:eastAsia="Arial" w:hAnsi="Arial" w:cs="Arial"/>
          <w:sz w:val="22"/>
          <w:szCs w:val="22"/>
        </w:rPr>
        <w:t xml:space="preserve">, </w:t>
      </w:r>
      <w:proofErr w:type="spellStart"/>
      <w:r>
        <w:rPr>
          <w:rFonts w:ascii="Arial" w:eastAsia="Arial" w:hAnsi="Arial" w:cs="Arial"/>
          <w:sz w:val="22"/>
          <w:szCs w:val="22"/>
        </w:rPr>
        <w:t>carton_volume_hist_L</w:t>
      </w:r>
      <w:proofErr w:type="spellEnd"/>
      <w:r>
        <w:rPr>
          <w:rFonts w:ascii="Arial" w:eastAsia="Arial" w:hAnsi="Arial" w:cs="Arial"/>
          <w:sz w:val="22"/>
          <w:szCs w:val="22"/>
        </w:rPr>
        <w:t xml:space="preserve">, </w:t>
      </w:r>
      <w:proofErr w:type="spellStart"/>
      <w:r>
        <w:rPr>
          <w:rFonts w:ascii="Arial" w:eastAsia="Arial" w:hAnsi="Arial" w:cs="Arial"/>
          <w:sz w:val="22"/>
          <w:szCs w:val="22"/>
        </w:rPr>
        <w:t>avg_util_ours</w:t>
      </w:r>
      <w:proofErr w:type="spellEnd"/>
      <w:r>
        <w:rPr>
          <w:rFonts w:ascii="Arial" w:eastAsia="Arial" w:hAnsi="Arial" w:cs="Arial"/>
          <w:sz w:val="22"/>
          <w:szCs w:val="22"/>
        </w:rPr>
        <w:t xml:space="preserve">, </w:t>
      </w:r>
      <w:proofErr w:type="spellStart"/>
      <w:r>
        <w:rPr>
          <w:rFonts w:ascii="Arial" w:eastAsia="Arial" w:hAnsi="Arial" w:cs="Arial"/>
          <w:sz w:val="22"/>
          <w:szCs w:val="22"/>
        </w:rPr>
        <w:t>avg_util_hist</w:t>
      </w:r>
      <w:proofErr w:type="spellEnd"/>
      <w:r>
        <w:rPr>
          <w:rFonts w:ascii="Arial" w:eastAsia="Arial" w:hAnsi="Arial" w:cs="Arial"/>
          <w:sz w:val="22"/>
          <w:szCs w:val="22"/>
        </w:rPr>
        <w:t xml:space="preserve">, unpacked, </w:t>
      </w:r>
      <w:proofErr w:type="spellStart"/>
      <w:r>
        <w:rPr>
          <w:rFonts w:ascii="Arial" w:eastAsia="Arial" w:hAnsi="Arial" w:cs="Arial"/>
          <w:sz w:val="22"/>
          <w:szCs w:val="22"/>
        </w:rPr>
        <w:t>runtime_ms</w:t>
      </w:r>
      <w:proofErr w:type="spellEnd"/>
      <w:r>
        <w:rPr>
          <w:rFonts w:ascii="Arial" w:eastAsia="Arial" w:hAnsi="Arial" w:cs="Arial"/>
          <w:sz w:val="22"/>
          <w:szCs w:val="22"/>
        </w:rPr>
        <w:t xml:space="preserve">, </w:t>
      </w:r>
      <w:proofErr w:type="spellStart"/>
      <w:r>
        <w:rPr>
          <w:rFonts w:ascii="Arial" w:eastAsia="Arial" w:hAnsi="Arial" w:cs="Arial"/>
          <w:sz w:val="22"/>
          <w:szCs w:val="22"/>
        </w:rPr>
        <w:t>latency_hist_ms</w:t>
      </w:r>
      <w:proofErr w:type="spellEnd"/>
      <w:r>
        <w:rPr>
          <w:rFonts w:ascii="Arial" w:eastAsia="Arial" w:hAnsi="Arial" w:cs="Arial"/>
          <w:sz w:val="22"/>
          <w:szCs w:val="22"/>
        </w:rPr>
        <w:t xml:space="preserve">, violations </w:t>
      </w:r>
      <w:r w:rsidR="003E0A92">
        <w:rPr>
          <w:rFonts w:ascii="Arial" w:eastAsia="Arial" w:hAnsi="Arial" w:cs="Arial"/>
          <w:sz w:val="22"/>
          <w:szCs w:val="22"/>
        </w:rPr>
        <w:t>-</w:t>
      </w:r>
      <w:r>
        <w:rPr>
          <w:rFonts w:ascii="Arial" w:eastAsia="Arial" w:hAnsi="Arial" w:cs="Arial"/>
          <w:sz w:val="22"/>
          <w:szCs w:val="22"/>
        </w:rPr>
        <w:t xml:space="preserve"> produced by the standalone evaluation harness for every order in a run.</w:t>
      </w:r>
    </w:p>
    <w:p w14:paraId="4A0736F1" w14:textId="6935E1E8" w:rsidR="00FD4E7B" w:rsidRDefault="00000000">
      <w:pPr>
        <w:pStyle w:val="Heading2"/>
        <w:spacing w:before="360" w:after="200"/>
      </w:pPr>
      <w:r>
        <w:rPr>
          <w:rFonts w:ascii="Arial" w:eastAsia="Arial" w:hAnsi="Arial" w:cs="Arial"/>
          <w:b/>
          <w:bCs/>
          <w:color w:val="1A1A1A"/>
        </w:rPr>
        <w:t xml:space="preserve">Appendix D: Project Management </w:t>
      </w:r>
      <w:r w:rsidR="003E0A92">
        <w:rPr>
          <w:rFonts w:ascii="Arial" w:eastAsia="Arial" w:hAnsi="Arial" w:cs="Arial"/>
          <w:b/>
          <w:bCs/>
          <w:color w:val="1A1A1A"/>
        </w:rPr>
        <w:t>-</w:t>
      </w:r>
      <w:r>
        <w:rPr>
          <w:rFonts w:ascii="Arial" w:eastAsia="Arial" w:hAnsi="Arial" w:cs="Arial"/>
          <w:b/>
          <w:bCs/>
          <w:color w:val="1A1A1A"/>
        </w:rPr>
        <w:t xml:space="preserve"> Status Visual</w:t>
      </w:r>
    </w:p>
    <w:p w14:paraId="11D39C70" w14:textId="77777777" w:rsidR="00FD4E7B" w:rsidRDefault="00000000">
      <w:pPr>
        <w:spacing w:after="200" w:line="480" w:lineRule="auto"/>
        <w:jc w:val="both"/>
      </w:pPr>
      <w:r>
        <w:rPr>
          <w:rFonts w:ascii="Arial" w:eastAsia="Arial" w:hAnsi="Arial" w:cs="Arial"/>
          <w:sz w:val="22"/>
          <w:szCs w:val="22"/>
        </w:rPr>
        <w:t>Figure D1 shows the Gantt-style status view kept alongside the project's spreadsheet Gantt chart, tracking the single workstream against the published 15-week schedule (Section 3), starting 8 August 2026. Included here as supporting evidence of how status has been tracked, complementing Table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4E7B" w14:paraId="0376B9B1" w14:textId="77777777">
        <w:tblPrEx>
          <w:tblCellMar>
            <w:top w:w="0" w:type="dxa"/>
            <w:bottom w:w="0" w:type="dxa"/>
          </w:tblCellMar>
        </w:tblPrEx>
        <w:tc>
          <w:tcPr>
            <w:tcW w:w="9350" w:type="dxa"/>
            <w:tcBorders>
              <w:top w:val="dashed" w:sz="6" w:space="0" w:color="999999"/>
              <w:left w:val="dashed" w:sz="6" w:space="0" w:color="999999"/>
              <w:bottom w:val="dashed" w:sz="6" w:space="0" w:color="999999"/>
              <w:right w:val="dashed" w:sz="6" w:space="0" w:color="999999"/>
            </w:tcBorders>
            <w:shd w:val="clear" w:color="auto" w:fill="F7F6F2"/>
            <w:tcMar>
              <w:top w:w="200" w:type="dxa"/>
              <w:left w:w="200" w:type="dxa"/>
              <w:bottom w:w="200" w:type="dxa"/>
              <w:right w:w="200" w:type="dxa"/>
            </w:tcMar>
          </w:tcPr>
          <w:p w14:paraId="7E2522D7" w14:textId="520AFA17" w:rsidR="00FD4E7B" w:rsidRDefault="00000000">
            <w:pPr>
              <w:spacing w:before="120"/>
              <w:jc w:val="center"/>
            </w:pPr>
            <w:r>
              <w:rPr>
                <w:rFonts w:ascii="Arial" w:eastAsia="Arial" w:hAnsi="Arial" w:cs="Arial"/>
                <w:b/>
                <w:bCs/>
                <w:color w:val="666666"/>
              </w:rPr>
              <w:t xml:space="preserve">[ Figure D1 </w:t>
            </w:r>
            <w:r w:rsidR="003E0A92">
              <w:rPr>
                <w:rFonts w:ascii="Arial" w:eastAsia="Arial" w:hAnsi="Arial" w:cs="Arial"/>
                <w:b/>
                <w:bCs/>
                <w:color w:val="666666"/>
              </w:rPr>
              <w:t>-</w:t>
            </w:r>
            <w:r>
              <w:rPr>
                <w:rFonts w:ascii="Arial" w:eastAsia="Arial" w:hAnsi="Arial" w:cs="Arial"/>
                <w:b/>
                <w:bCs/>
                <w:color w:val="666666"/>
              </w:rPr>
              <w:t xml:space="preserve"> insert </w:t>
            </w:r>
            <w:proofErr w:type="gramStart"/>
            <w:r>
              <w:rPr>
                <w:rFonts w:ascii="Arial" w:eastAsia="Arial" w:hAnsi="Arial" w:cs="Arial"/>
                <w:b/>
                <w:bCs/>
                <w:color w:val="666666"/>
              </w:rPr>
              <w:t>here ]</w:t>
            </w:r>
            <w:proofErr w:type="gramEnd"/>
          </w:p>
          <w:p w14:paraId="71B68E1C" w14:textId="77777777" w:rsidR="00FD4E7B" w:rsidRDefault="00000000">
            <w:pPr>
              <w:spacing w:before="60" w:after="120"/>
              <w:jc w:val="center"/>
            </w:pPr>
            <w:r>
              <w:rPr>
                <w:rFonts w:ascii="Arial" w:eastAsia="Arial" w:hAnsi="Arial" w:cs="Arial"/>
                <w:i/>
                <w:iCs/>
                <w:color w:val="888888"/>
                <w:sz w:val="19"/>
                <w:szCs w:val="19"/>
              </w:rPr>
              <w:t>Project status Gantt visual vs. the published 15-week schedule</w:t>
            </w:r>
          </w:p>
        </w:tc>
      </w:tr>
    </w:tbl>
    <w:p w14:paraId="7CBE75F7" w14:textId="77777777" w:rsidR="00FD4E7B" w:rsidRDefault="00000000">
      <w:pPr>
        <w:spacing w:before="80" w:after="240"/>
        <w:jc w:val="center"/>
      </w:pPr>
      <w:r>
        <w:rPr>
          <w:rFonts w:ascii="Arial" w:eastAsia="Arial" w:hAnsi="Arial" w:cs="Arial"/>
          <w:i/>
          <w:iCs/>
          <w:sz w:val="19"/>
          <w:szCs w:val="19"/>
        </w:rPr>
        <w:t>Figure D1. Project status vs. the published 15-week schedule, as of the Week 8 mid-report milestone.</w:t>
      </w:r>
    </w:p>
    <w:sectPr w:rsidR="00FD4E7B">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BE27F" w14:textId="77777777" w:rsidR="00472356" w:rsidRDefault="00472356">
      <w:r>
        <w:separator/>
      </w:r>
    </w:p>
  </w:endnote>
  <w:endnote w:type="continuationSeparator" w:id="0">
    <w:p w14:paraId="5EA8B6E7" w14:textId="77777777" w:rsidR="00472356" w:rsidRDefault="00472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54AE" w14:textId="77777777" w:rsidR="00FD4E7B"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C96FFB">
      <w:rPr>
        <w:rFonts w:ascii="Arial" w:eastAsia="Arial" w:hAnsi="Arial" w:cs="Arial"/>
        <w:noProof/>
        <w:sz w:val="18"/>
        <w:szCs w:val="18"/>
      </w:rPr>
      <w:t>2</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38B5" w14:textId="77777777" w:rsidR="00472356" w:rsidRDefault="00472356">
      <w:r>
        <w:separator/>
      </w:r>
    </w:p>
  </w:footnote>
  <w:footnote w:type="continuationSeparator" w:id="0">
    <w:p w14:paraId="14A2FDAC" w14:textId="77777777" w:rsidR="00472356" w:rsidRDefault="00472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57870" w14:textId="77777777" w:rsidR="00FD4E7B" w:rsidRDefault="00000000">
    <w:pPr>
      <w:jc w:val="right"/>
    </w:pPr>
    <w:proofErr w:type="gramStart"/>
    <w:r>
      <w:rPr>
        <w:rFonts w:ascii="Arial" w:eastAsia="Arial" w:hAnsi="Arial" w:cs="Arial"/>
        <w:color w:val="666666"/>
        <w:sz w:val="16"/>
        <w:szCs w:val="16"/>
      </w:rPr>
      <w:t>Open Source</w:t>
    </w:r>
    <w:proofErr w:type="gramEnd"/>
    <w:r>
      <w:rPr>
        <w:rFonts w:ascii="Arial" w:eastAsia="Arial" w:hAnsi="Arial" w:cs="Arial"/>
        <w:color w:val="666666"/>
        <w:sz w:val="16"/>
        <w:szCs w:val="16"/>
      </w:rPr>
      <w:t xml:space="preserve"> 3D Bin Packing Solution — Interim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713ED"/>
    <w:multiLevelType w:val="hybridMultilevel"/>
    <w:tmpl w:val="EC88D398"/>
    <w:lvl w:ilvl="0" w:tplc="FF200E60">
      <w:start w:val="1"/>
      <w:numFmt w:val="bullet"/>
      <w:lvlText w:val="●"/>
      <w:lvlJc w:val="left"/>
      <w:pPr>
        <w:ind w:left="720" w:hanging="360"/>
      </w:pPr>
    </w:lvl>
    <w:lvl w:ilvl="1" w:tplc="FB1E750E">
      <w:start w:val="1"/>
      <w:numFmt w:val="bullet"/>
      <w:lvlText w:val="○"/>
      <w:lvlJc w:val="left"/>
      <w:pPr>
        <w:ind w:left="1440" w:hanging="360"/>
      </w:pPr>
    </w:lvl>
    <w:lvl w:ilvl="2" w:tplc="33DE49F0">
      <w:start w:val="1"/>
      <w:numFmt w:val="bullet"/>
      <w:lvlText w:val="■"/>
      <w:lvlJc w:val="left"/>
      <w:pPr>
        <w:ind w:left="2160" w:hanging="360"/>
      </w:pPr>
    </w:lvl>
    <w:lvl w:ilvl="3" w:tplc="002264B2">
      <w:start w:val="1"/>
      <w:numFmt w:val="bullet"/>
      <w:lvlText w:val="●"/>
      <w:lvlJc w:val="left"/>
      <w:pPr>
        <w:ind w:left="2880" w:hanging="360"/>
      </w:pPr>
    </w:lvl>
    <w:lvl w:ilvl="4" w:tplc="86F03D26">
      <w:start w:val="1"/>
      <w:numFmt w:val="bullet"/>
      <w:lvlText w:val="○"/>
      <w:lvlJc w:val="left"/>
      <w:pPr>
        <w:ind w:left="3600" w:hanging="360"/>
      </w:pPr>
    </w:lvl>
    <w:lvl w:ilvl="5" w:tplc="4E56ABD6">
      <w:start w:val="1"/>
      <w:numFmt w:val="bullet"/>
      <w:lvlText w:val="■"/>
      <w:lvlJc w:val="left"/>
      <w:pPr>
        <w:ind w:left="4320" w:hanging="360"/>
      </w:pPr>
    </w:lvl>
    <w:lvl w:ilvl="6" w:tplc="C6CC1216">
      <w:start w:val="1"/>
      <w:numFmt w:val="bullet"/>
      <w:lvlText w:val="●"/>
      <w:lvlJc w:val="left"/>
      <w:pPr>
        <w:ind w:left="5040" w:hanging="360"/>
      </w:pPr>
    </w:lvl>
    <w:lvl w:ilvl="7" w:tplc="156C324C">
      <w:start w:val="1"/>
      <w:numFmt w:val="bullet"/>
      <w:lvlText w:val="●"/>
      <w:lvlJc w:val="left"/>
      <w:pPr>
        <w:ind w:left="5760" w:hanging="360"/>
      </w:pPr>
    </w:lvl>
    <w:lvl w:ilvl="8" w:tplc="FFF63968">
      <w:start w:val="1"/>
      <w:numFmt w:val="bullet"/>
      <w:lvlText w:val="●"/>
      <w:lvlJc w:val="left"/>
      <w:pPr>
        <w:ind w:left="6480" w:hanging="360"/>
      </w:pPr>
    </w:lvl>
  </w:abstractNum>
  <w:abstractNum w:abstractNumId="1" w15:restartNumberingAfterBreak="0">
    <w:nsid w:val="76725337"/>
    <w:multiLevelType w:val="hybridMultilevel"/>
    <w:tmpl w:val="32D8FE14"/>
    <w:lvl w:ilvl="0" w:tplc="D88AD14A">
      <w:start w:val="1"/>
      <w:numFmt w:val="bullet"/>
      <w:lvlText w:val="•"/>
      <w:lvlJc w:val="left"/>
      <w:pPr>
        <w:ind w:left="720" w:hanging="360"/>
      </w:pPr>
    </w:lvl>
    <w:lvl w:ilvl="1" w:tplc="ADCC2154">
      <w:numFmt w:val="decimal"/>
      <w:lvlText w:val=""/>
      <w:lvlJc w:val="left"/>
    </w:lvl>
    <w:lvl w:ilvl="2" w:tplc="E2A2232E">
      <w:numFmt w:val="decimal"/>
      <w:lvlText w:val=""/>
      <w:lvlJc w:val="left"/>
    </w:lvl>
    <w:lvl w:ilvl="3" w:tplc="EA764A3C">
      <w:numFmt w:val="decimal"/>
      <w:lvlText w:val=""/>
      <w:lvlJc w:val="left"/>
    </w:lvl>
    <w:lvl w:ilvl="4" w:tplc="5838F256">
      <w:numFmt w:val="decimal"/>
      <w:lvlText w:val=""/>
      <w:lvlJc w:val="left"/>
    </w:lvl>
    <w:lvl w:ilvl="5" w:tplc="4EA22D4C">
      <w:numFmt w:val="decimal"/>
      <w:lvlText w:val=""/>
      <w:lvlJc w:val="left"/>
    </w:lvl>
    <w:lvl w:ilvl="6" w:tplc="1278CDFE">
      <w:numFmt w:val="decimal"/>
      <w:lvlText w:val=""/>
      <w:lvlJc w:val="left"/>
    </w:lvl>
    <w:lvl w:ilvl="7" w:tplc="2B2ED902">
      <w:numFmt w:val="decimal"/>
      <w:lvlText w:val=""/>
      <w:lvlJc w:val="left"/>
    </w:lvl>
    <w:lvl w:ilvl="8" w:tplc="A6965A06">
      <w:numFmt w:val="decimal"/>
      <w:lvlText w:val=""/>
      <w:lvlJc w:val="left"/>
    </w:lvl>
  </w:abstractNum>
  <w:num w:numId="1" w16cid:durableId="1159611206">
    <w:abstractNumId w:val="0"/>
    <w:lvlOverride w:ilvl="0">
      <w:startOverride w:val="1"/>
    </w:lvlOverride>
  </w:num>
  <w:num w:numId="2" w16cid:durableId="20384586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E7B"/>
    <w:rsid w:val="003819E7"/>
    <w:rsid w:val="003E0A92"/>
    <w:rsid w:val="00472356"/>
    <w:rsid w:val="00C96FFB"/>
    <w:rsid w:val="00CE05DD"/>
    <w:rsid w:val="00FD4E7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FA5E0"/>
  <w15:docId w15:val="{7C1A9E7A-F0D3-4E5E-AA43-873A3E91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0A92"/>
    <w:pPr>
      <w:tabs>
        <w:tab w:val="center" w:pos="4513"/>
        <w:tab w:val="right" w:pos="9026"/>
      </w:tabs>
    </w:pPr>
  </w:style>
  <w:style w:type="character" w:customStyle="1" w:styleId="HeaderChar">
    <w:name w:val="Header Char"/>
    <w:basedOn w:val="DefaultParagraphFont"/>
    <w:link w:val="Header"/>
    <w:uiPriority w:val="99"/>
    <w:rsid w:val="003E0A92"/>
  </w:style>
  <w:style w:type="paragraph" w:styleId="Footer">
    <w:name w:val="footer"/>
    <w:basedOn w:val="Normal"/>
    <w:link w:val="FooterChar"/>
    <w:uiPriority w:val="99"/>
    <w:unhideWhenUsed/>
    <w:rsid w:val="003E0A92"/>
    <w:pPr>
      <w:tabs>
        <w:tab w:val="center" w:pos="4513"/>
        <w:tab w:val="right" w:pos="9026"/>
      </w:tabs>
    </w:pPr>
  </w:style>
  <w:style w:type="character" w:customStyle="1" w:styleId="FooterChar">
    <w:name w:val="Footer Char"/>
    <w:basedOn w:val="DefaultParagraphFont"/>
    <w:link w:val="Footer"/>
    <w:uiPriority w:val="99"/>
    <w:rsid w:val="003E0A92"/>
  </w:style>
  <w:style w:type="paragraph" w:styleId="NormalWeb">
    <w:name w:val="Normal (Web)"/>
    <w:basedOn w:val="Normal"/>
    <w:uiPriority w:val="99"/>
    <w:semiHidden/>
    <w:unhideWhenUsed/>
    <w:rsid w:val="00CE05D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22</Pages>
  <Words>4810</Words>
  <Characters>27419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Rajaram Jayaraman / OEP-HQ</cp:lastModifiedBy>
  <cp:revision>3</cp:revision>
  <dcterms:created xsi:type="dcterms:W3CDTF">2026-10-16T13:06:00Z</dcterms:created>
  <dcterms:modified xsi:type="dcterms:W3CDTF">2026-10-18T01:04:00Z</dcterms:modified>
</cp:coreProperties>
</file>