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5FD10423"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A2A0EC4"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05A7AB0" w:rsidR="00876C74" w:rsidRDefault="00C53746">
            <w:r>
              <w:t>V.PAVITHRA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C28F836" w:rsidR="00876C74" w:rsidRDefault="00C53746">
            <w:r>
              <w:t>192524274</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20F3771" w:rsidR="00876C74" w:rsidRDefault="00C53746">
            <w:r>
              <w:t>30/08/2026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683914E" w:rsidR="00876C74" w:rsidRDefault="004F729E" w:rsidP="00D86540">
            <w:pPr>
              <w:spacing w:after="60"/>
              <w:jc w:val="both"/>
            </w:pPr>
            <w:r>
              <w:rPr>
                <w:i/>
                <w:iCs/>
                <w:sz w:val="18"/>
                <w:szCs w:val="18"/>
              </w:rPr>
              <w:t>I ___</w:t>
            </w:r>
            <w:proofErr w:type="spellStart"/>
            <w:proofErr w:type="gramStart"/>
            <w:r w:rsidR="00C53746">
              <w:rPr>
                <w:i/>
                <w:iCs/>
                <w:sz w:val="18"/>
                <w:szCs w:val="18"/>
              </w:rPr>
              <w:t>v.pavithra</w:t>
            </w:r>
            <w:proofErr w:type="spellEnd"/>
            <w:proofErr w:type="gramEnd"/>
            <w:r w:rsidR="00C53746">
              <w:rPr>
                <w:i/>
                <w:iCs/>
                <w:sz w:val="18"/>
                <w:szCs w:val="18"/>
              </w:rPr>
              <w:t xml:space="preserve"> 192524274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51E69FED" w:rsidR="00876C74" w:rsidRDefault="004F729E">
            <w:r>
              <w:rPr>
                <w:sz w:val="18"/>
                <w:szCs w:val="18"/>
              </w:rPr>
              <w:t>Signature of the Student: ____________</w:t>
            </w:r>
            <w:proofErr w:type="spellStart"/>
            <w:proofErr w:type="gramStart"/>
            <w:r w:rsidR="00C53746">
              <w:rPr>
                <w:sz w:val="18"/>
                <w:szCs w:val="18"/>
              </w:rPr>
              <w:t>v.pavithra</w:t>
            </w:r>
            <w:proofErr w:type="spellEnd"/>
            <w:proofErr w:type="gramEnd"/>
            <w:r>
              <w:rPr>
                <w:sz w:val="18"/>
                <w:szCs w:val="18"/>
              </w:rPr>
              <w:t>_____________</w:t>
            </w:r>
          </w:p>
        </w:tc>
      </w:tr>
    </w:tbl>
    <w:p w14:paraId="36EA9193" w14:textId="77777777" w:rsidR="00D43D91" w:rsidRPr="00D43D91" w:rsidRDefault="007808C1" w:rsidP="00D43D91">
      <w:pPr>
        <w:pStyle w:val="NormalWeb"/>
        <w:rPr>
          <w:color w:val="C00000"/>
        </w:rPr>
      </w:pPr>
      <w:r>
        <w:rPr>
          <w:b/>
          <w:bCs/>
          <w:color w:val="C00000"/>
          <w:sz w:val="22"/>
          <w:szCs w:val="22"/>
        </w:rPr>
        <w:t xml:space="preserve">Annexure A – </w:t>
      </w:r>
      <w:r w:rsidR="00D43D91" w:rsidRPr="00D43D91">
        <w:rPr>
          <w:color w:val="C00000"/>
        </w:rPr>
        <w:t>Research Paper Review / Literature Survey </w:t>
      </w:r>
    </w:p>
    <w:p w14:paraId="4B2EED49" w14:textId="5FDF7943" w:rsidR="006D0408" w:rsidRDefault="00F51829" w:rsidP="00D43D91">
      <w:pPr>
        <w:pBdr>
          <w:bottom w:val="single" w:sz="4" w:space="1" w:color="C00000"/>
        </w:pBdr>
        <w:spacing w:before="80" w:after="40"/>
        <w:rPr>
          <w:rStyle w:val="Strong"/>
          <w:color w:val="000000"/>
        </w:rPr>
      </w:pPr>
      <w:r>
        <w:rPr>
          <w:rStyle w:val="Strong"/>
          <w:color w:val="000000"/>
        </w:rPr>
        <w:t>Instructions to Students:</w:t>
      </w:r>
    </w:p>
    <w:p w14:paraId="61383BBD" w14:textId="77777777" w:rsidR="00D43D91" w:rsidRDefault="00D43D91" w:rsidP="00D43D91">
      <w:pPr>
        <w:pStyle w:val="pdq2pgselectionanchorcontainer"/>
        <w:jc w:val="both"/>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conduct a literature survey and review relevant research papers</w:t>
      </w:r>
      <w:r>
        <w:rPr>
          <w:rStyle w:val="apple-converted-space"/>
          <w:color w:val="000000"/>
        </w:rPr>
        <w:t> </w:t>
      </w:r>
      <w:r>
        <w:rPr>
          <w:color w:val="000000"/>
        </w:rPr>
        <w:t>to understand the existing approaches, techniques, technologies, limitations, and research gaps related to the problem.</w:t>
      </w:r>
    </w:p>
    <w:p w14:paraId="4558B99F" w14:textId="77777777" w:rsidR="00D43D91" w:rsidRDefault="00D43D91" w:rsidP="00D43D91">
      <w:pPr>
        <w:pStyle w:val="NormalWeb"/>
        <w:rPr>
          <w:color w:val="000000"/>
        </w:rPr>
      </w:pPr>
      <w:r>
        <w:rPr>
          <w:color w:val="000000"/>
        </w:rPr>
        <w:t>The literature survey should include:</w:t>
      </w:r>
    </w:p>
    <w:p w14:paraId="77D5DB2E" w14:textId="77777777" w:rsidR="00D43D91" w:rsidRDefault="00D43D91" w:rsidP="00D43D91">
      <w:pPr>
        <w:numPr>
          <w:ilvl w:val="0"/>
          <w:numId w:val="19"/>
        </w:numPr>
        <w:spacing w:before="100" w:beforeAutospacing="1" w:after="100" w:afterAutospacing="1"/>
        <w:rPr>
          <w:color w:val="000000"/>
        </w:rPr>
      </w:pPr>
      <w:r>
        <w:rPr>
          <w:color w:val="000000"/>
        </w:rPr>
        <w:t>Identify and select</w:t>
      </w:r>
      <w:r>
        <w:rPr>
          <w:rStyle w:val="apple-converted-space"/>
          <w:color w:val="000000"/>
        </w:rPr>
        <w:t> </w:t>
      </w:r>
      <w:r>
        <w:rPr>
          <w:rStyle w:val="Strong"/>
          <w:color w:val="000000"/>
        </w:rPr>
        <w:t>relevant research papers</w:t>
      </w:r>
      <w:r>
        <w:rPr>
          <w:rStyle w:val="apple-converted-space"/>
          <w:color w:val="000000"/>
        </w:rPr>
        <w:t> </w:t>
      </w:r>
      <w:r>
        <w:rPr>
          <w:color w:val="000000"/>
        </w:rPr>
        <w:t>related to the assigned problem statement from reputed journals, conferences, or scholarly databases.</w:t>
      </w:r>
    </w:p>
    <w:p w14:paraId="62466C6B" w14:textId="77777777" w:rsidR="00D43D91" w:rsidRDefault="00D43D91" w:rsidP="00D43D91">
      <w:pPr>
        <w:numPr>
          <w:ilvl w:val="0"/>
          <w:numId w:val="19"/>
        </w:numPr>
        <w:spacing w:before="100" w:beforeAutospacing="1" w:after="100" w:afterAutospacing="1"/>
        <w:rPr>
          <w:color w:val="000000"/>
        </w:rPr>
      </w:pPr>
      <w:r>
        <w:rPr>
          <w:color w:val="000000"/>
        </w:rPr>
        <w:t>Summarize the</w:t>
      </w:r>
      <w:r>
        <w:rPr>
          <w:rStyle w:val="apple-converted-space"/>
          <w:color w:val="000000"/>
        </w:rPr>
        <w:t> </w:t>
      </w:r>
      <w:r>
        <w:rPr>
          <w:rStyle w:val="Strong"/>
          <w:color w:val="000000"/>
        </w:rPr>
        <w:t>objectives, methodologies, technologies, datasets, and major findings</w:t>
      </w:r>
      <w:r>
        <w:rPr>
          <w:rStyle w:val="apple-converted-space"/>
          <w:color w:val="000000"/>
        </w:rPr>
        <w:t> </w:t>
      </w:r>
      <w:r>
        <w:rPr>
          <w:color w:val="000000"/>
        </w:rPr>
        <w:t>of the selected research papers.</w:t>
      </w:r>
    </w:p>
    <w:p w14:paraId="42BA36B0" w14:textId="77777777" w:rsidR="00D43D91" w:rsidRDefault="00D43D91" w:rsidP="00D43D91">
      <w:pPr>
        <w:numPr>
          <w:ilvl w:val="0"/>
          <w:numId w:val="19"/>
        </w:numPr>
        <w:spacing w:before="100" w:beforeAutospacing="1" w:after="100" w:afterAutospacing="1"/>
        <w:rPr>
          <w:color w:val="000000"/>
        </w:rPr>
      </w:pPr>
      <w:r>
        <w:rPr>
          <w:color w:val="000000"/>
        </w:rPr>
        <w:t>Compare the existing approaches based on suitable parameters such as</w:t>
      </w:r>
      <w:r>
        <w:rPr>
          <w:rStyle w:val="apple-converted-space"/>
          <w:color w:val="000000"/>
        </w:rPr>
        <w:t> </w:t>
      </w:r>
      <w:r>
        <w:rPr>
          <w:rStyle w:val="Strong"/>
          <w:color w:val="000000"/>
        </w:rPr>
        <w:t>accuracy, performance, scalability, efficiency, methodology, or other problem-specific metrics</w:t>
      </w:r>
      <w:r>
        <w:rPr>
          <w:color w:val="000000"/>
        </w:rPr>
        <w:t>.</w:t>
      </w:r>
    </w:p>
    <w:p w14:paraId="7CD0D467" w14:textId="77777777" w:rsidR="00D43D91" w:rsidRDefault="00D43D91" w:rsidP="00D43D91">
      <w:pPr>
        <w:numPr>
          <w:ilvl w:val="0"/>
          <w:numId w:val="19"/>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limitations and challenges</w:t>
      </w:r>
      <w:r>
        <w:rPr>
          <w:rStyle w:val="apple-converted-space"/>
          <w:color w:val="000000"/>
        </w:rPr>
        <w:t> </w:t>
      </w:r>
      <w:r>
        <w:rPr>
          <w:color w:val="000000"/>
        </w:rPr>
        <w:t>of the existing research approaches.</w:t>
      </w:r>
    </w:p>
    <w:p w14:paraId="727164C8" w14:textId="77777777" w:rsidR="00D43D91" w:rsidRDefault="00D43D91" w:rsidP="00D43D91">
      <w:pPr>
        <w:numPr>
          <w:ilvl w:val="0"/>
          <w:numId w:val="19"/>
        </w:numPr>
        <w:spacing w:before="100" w:beforeAutospacing="1" w:after="100" w:afterAutospacing="1"/>
        <w:rPr>
          <w:color w:val="000000"/>
        </w:rPr>
      </w:pPr>
      <w:proofErr w:type="spellStart"/>
      <w:r>
        <w:rPr>
          <w:color w:val="000000"/>
        </w:rPr>
        <w:t>Analyze</w:t>
      </w:r>
      <w:proofErr w:type="spellEnd"/>
      <w:r>
        <w:rPr>
          <w:color w:val="000000"/>
        </w:rPr>
        <w:t xml:space="preserve"> the literature to identify the</w:t>
      </w:r>
      <w:r>
        <w:rPr>
          <w:rStyle w:val="apple-converted-space"/>
          <w:color w:val="000000"/>
        </w:rPr>
        <w:t> </w:t>
      </w:r>
      <w:r>
        <w:rPr>
          <w:rStyle w:val="Strong"/>
          <w:color w:val="000000"/>
        </w:rPr>
        <w:t>research gap</w:t>
      </w:r>
      <w:r>
        <w:rPr>
          <w:rStyle w:val="apple-converted-space"/>
          <w:color w:val="000000"/>
        </w:rPr>
        <w:t> </w:t>
      </w:r>
      <w:r>
        <w:rPr>
          <w:color w:val="000000"/>
        </w:rPr>
        <w:t>or unresolved issues related to the assigned problem.</w:t>
      </w:r>
    </w:p>
    <w:p w14:paraId="0334461E" w14:textId="77777777" w:rsidR="00D43D91" w:rsidRDefault="00D43D91" w:rsidP="00D43D91">
      <w:pPr>
        <w:numPr>
          <w:ilvl w:val="0"/>
          <w:numId w:val="19"/>
        </w:numPr>
        <w:spacing w:before="100" w:beforeAutospacing="1" w:after="100" w:afterAutospacing="1"/>
        <w:rPr>
          <w:color w:val="000000"/>
        </w:rPr>
      </w:pPr>
      <w:r>
        <w:rPr>
          <w:color w:val="000000"/>
        </w:rPr>
        <w:t>Discuss the</w:t>
      </w:r>
      <w:r>
        <w:rPr>
          <w:rStyle w:val="apple-converted-space"/>
          <w:color w:val="000000"/>
        </w:rPr>
        <w:t> </w:t>
      </w:r>
      <w:r>
        <w:rPr>
          <w:rStyle w:val="Strong"/>
          <w:color w:val="000000"/>
        </w:rPr>
        <w:t>possible improvements or future research directions</w:t>
      </w:r>
      <w:r>
        <w:rPr>
          <w:rStyle w:val="apple-converted-space"/>
          <w:color w:val="000000"/>
        </w:rPr>
        <w:t> </w:t>
      </w:r>
      <w:r>
        <w:rPr>
          <w:color w:val="000000"/>
        </w:rPr>
        <w:t>based on the identified research gap.</w:t>
      </w:r>
    </w:p>
    <w:p w14:paraId="0772B150" w14:textId="77777777" w:rsidR="00D43D91" w:rsidRDefault="00D43D91" w:rsidP="00D43D91">
      <w:pPr>
        <w:numPr>
          <w:ilvl w:val="0"/>
          <w:numId w:val="19"/>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comparative literature survey table</w:t>
      </w:r>
      <w:r>
        <w:rPr>
          <w:rStyle w:val="apple-converted-space"/>
          <w:color w:val="000000"/>
        </w:rPr>
        <w:t> </w:t>
      </w:r>
      <w:r>
        <w:rPr>
          <w:color w:val="000000"/>
        </w:rPr>
        <w:t>containing details such as author/year, research problem, methodology, dataset/tools, key findings, limitations, and research gap.</w:t>
      </w:r>
    </w:p>
    <w:p w14:paraId="5608F752" w14:textId="77777777" w:rsidR="00D43D91" w:rsidRDefault="00D43D91" w:rsidP="00D43D91">
      <w:pPr>
        <w:numPr>
          <w:ilvl w:val="0"/>
          <w:numId w:val="19"/>
        </w:numPr>
        <w:spacing w:before="100" w:beforeAutospacing="1" w:after="100" w:afterAutospacing="1"/>
        <w:rPr>
          <w:color w:val="000000"/>
        </w:rPr>
      </w:pPr>
      <w:r>
        <w:rPr>
          <w:color w:val="000000"/>
        </w:rPr>
        <w:t>Provide proper</w:t>
      </w:r>
      <w:r>
        <w:rPr>
          <w:rStyle w:val="apple-converted-space"/>
          <w:color w:val="000000"/>
        </w:rPr>
        <w:t> </w:t>
      </w:r>
      <w:r>
        <w:rPr>
          <w:rStyle w:val="Strong"/>
          <w:color w:val="000000"/>
        </w:rPr>
        <w:t>citations and references</w:t>
      </w:r>
      <w:r>
        <w:rPr>
          <w:rStyle w:val="apple-converted-space"/>
          <w:color w:val="000000"/>
        </w:rPr>
        <w:t> </w:t>
      </w:r>
      <w:r>
        <w:rPr>
          <w:color w:val="000000"/>
        </w:rPr>
        <w:t>using a consistent referencing style.</w:t>
      </w:r>
    </w:p>
    <w:p w14:paraId="3104EA89" w14:textId="77777777" w:rsidR="00D43D91" w:rsidRDefault="00D43D91" w:rsidP="00D43D91">
      <w:pPr>
        <w:pStyle w:val="NormalWeb"/>
        <w:rPr>
          <w:color w:val="000000"/>
        </w:rPr>
      </w:pPr>
      <w:r>
        <w:rPr>
          <w:rStyle w:val="Strong"/>
          <w:color w:val="000000"/>
        </w:rPr>
        <w:lastRenderedPageBreak/>
        <w:t>Deliverable:</w:t>
      </w:r>
      <w:r>
        <w:rPr>
          <w:rStyle w:val="apple-converted-space"/>
          <w:color w:val="000000"/>
        </w:rPr>
        <w:t> </w:t>
      </w:r>
      <w:r>
        <w:rPr>
          <w:color w:val="000000"/>
        </w:rPr>
        <w:t>Submit a</w:t>
      </w:r>
      <w:r>
        <w:rPr>
          <w:rStyle w:val="apple-converted-space"/>
          <w:color w:val="000000"/>
        </w:rPr>
        <w:t> </w:t>
      </w:r>
      <w:r>
        <w:rPr>
          <w:rStyle w:val="Strong"/>
          <w:color w:val="000000"/>
        </w:rPr>
        <w:t>Research Paper Review / Literature Survey Report</w:t>
      </w:r>
      <w:r>
        <w:rPr>
          <w:rStyle w:val="apple-converted-space"/>
          <w:color w:val="000000"/>
        </w:rPr>
        <w:t> </w:t>
      </w:r>
      <w:r>
        <w:rPr>
          <w:color w:val="000000"/>
        </w:rPr>
        <w:t>containing the selected research papers, individual paper reviews, comparative analysis, identified research gaps, future directions, and properly formatted references.</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43D91"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5013B0D7" w:rsidR="00D43D91" w:rsidRPr="00DD3BB7" w:rsidRDefault="00D43D91" w:rsidP="00D43D91">
            <w:pPr>
              <w:rPr>
                <w:b/>
                <w:bCs/>
                <w:sz w:val="21"/>
                <w:szCs w:val="21"/>
              </w:rPr>
            </w:pPr>
            <w:r>
              <w:rPr>
                <w:rStyle w:val="Strong"/>
                <w:color w:val="000000"/>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120DC5F1" w:rsidR="00D43D91" w:rsidRPr="00DD3BB7" w:rsidRDefault="00D43D91" w:rsidP="00D43D91">
            <w:pPr>
              <w:rPr>
                <w:b/>
                <w:bCs/>
                <w:sz w:val="21"/>
                <w:szCs w:val="21"/>
              </w:rPr>
            </w:pPr>
            <w:r>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0CD41AEF" w:rsidR="00D43D91" w:rsidRPr="00DD3BB7" w:rsidRDefault="00D43D91" w:rsidP="00D43D91">
            <w:pPr>
              <w:rPr>
                <w:sz w:val="21"/>
                <w:szCs w:val="21"/>
              </w:rPr>
            </w:pPr>
            <w:r>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072097B" w:rsidR="00D43D91" w:rsidRPr="00DD3BB7" w:rsidRDefault="00D43D91" w:rsidP="00D43D91">
            <w:pPr>
              <w:rPr>
                <w:sz w:val="21"/>
                <w:szCs w:val="21"/>
              </w:rPr>
            </w:pPr>
            <w:r>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18D55C74" w:rsidR="00D43D91" w:rsidRPr="00DD3BB7" w:rsidRDefault="00D43D91" w:rsidP="00D43D91">
            <w:pPr>
              <w:rPr>
                <w:sz w:val="21"/>
                <w:szCs w:val="21"/>
              </w:rPr>
            </w:pPr>
            <w:r>
              <w:rPr>
                <w:color w:val="000000"/>
              </w:rPr>
              <w:t>Papers are irrelevant or reviews are incomplete</w:t>
            </w:r>
          </w:p>
        </w:tc>
      </w:tr>
      <w:tr w:rsidR="00D43D91"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3A9A7D17" w:rsidR="00D43D91" w:rsidRPr="00DD3BB7" w:rsidRDefault="00D43D91" w:rsidP="00D43D91">
            <w:pPr>
              <w:rPr>
                <w:b/>
                <w:bCs/>
                <w:sz w:val="21"/>
                <w:szCs w:val="21"/>
              </w:rPr>
            </w:pPr>
            <w:r>
              <w:rPr>
                <w:rStyle w:val="Strong"/>
                <w:color w:val="000000"/>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4486E450" w:rsidR="00D43D91" w:rsidRPr="00DD3BB7" w:rsidRDefault="00D43D91" w:rsidP="00D43D91">
            <w:pPr>
              <w:rPr>
                <w:b/>
                <w:bCs/>
                <w:sz w:val="21"/>
                <w:szCs w:val="21"/>
              </w:rPr>
            </w:pPr>
            <w:r>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3D16A9C" w:rsidR="00D43D91" w:rsidRPr="00DD3BB7" w:rsidRDefault="00D43D91" w:rsidP="00D43D91">
            <w:pPr>
              <w:rPr>
                <w:sz w:val="21"/>
                <w:szCs w:val="21"/>
              </w:rPr>
            </w:pPr>
            <w:r>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3E7F510" w:rsidR="00D43D91" w:rsidRPr="00DD3BB7" w:rsidRDefault="00D43D91" w:rsidP="00D43D91">
            <w:pPr>
              <w:rPr>
                <w:sz w:val="21"/>
                <w:szCs w:val="21"/>
              </w:rPr>
            </w:pPr>
            <w:r>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6D2CEDCE" w:rsidR="00D43D91" w:rsidRPr="00DD3BB7" w:rsidRDefault="00D43D91" w:rsidP="00D43D91">
            <w:pPr>
              <w:rPr>
                <w:sz w:val="21"/>
                <w:szCs w:val="21"/>
              </w:rPr>
            </w:pPr>
            <w:r>
              <w:rPr>
                <w:color w:val="000000"/>
              </w:rPr>
              <w:t>Little or no meaningful comparison</w:t>
            </w:r>
          </w:p>
        </w:tc>
      </w:tr>
      <w:tr w:rsidR="00D43D91"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E860AD6" w:rsidR="00D43D91" w:rsidRPr="00DD3BB7" w:rsidRDefault="00D43D91" w:rsidP="00D43D91">
            <w:pPr>
              <w:rPr>
                <w:b/>
                <w:bCs/>
                <w:sz w:val="21"/>
                <w:szCs w:val="21"/>
              </w:rPr>
            </w:pPr>
            <w:r>
              <w:rPr>
                <w:rStyle w:val="Strong"/>
                <w:color w:val="000000"/>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056B5AE8" w:rsidR="00D43D91" w:rsidRPr="00DD3BB7" w:rsidRDefault="00D43D91" w:rsidP="00D43D91">
            <w:pPr>
              <w:rPr>
                <w:b/>
                <w:bCs/>
                <w:sz w:val="21"/>
                <w:szCs w:val="21"/>
              </w:rPr>
            </w:pPr>
            <w:r>
              <w:rPr>
                <w:color w:val="000000"/>
              </w:rPr>
              <w:t xml:space="preserve">Clearly </w:t>
            </w:r>
            <w:proofErr w:type="spellStart"/>
            <w:r>
              <w:rPr>
                <w:color w:val="000000"/>
              </w:rPr>
              <w:t>analyzes</w:t>
            </w:r>
            <w:proofErr w:type="spellEnd"/>
            <w:r>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2FB10A71" w:rsidR="00D43D91" w:rsidRPr="00DD3BB7" w:rsidRDefault="00D43D91" w:rsidP="00D43D91">
            <w:pPr>
              <w:rPr>
                <w:sz w:val="21"/>
                <w:szCs w:val="21"/>
              </w:rPr>
            </w:pPr>
            <w:r>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D6F915C" w:rsidR="00D43D91" w:rsidRPr="00DD3BB7" w:rsidRDefault="00D43D91" w:rsidP="00D43D91">
            <w:pPr>
              <w:rPr>
                <w:sz w:val="21"/>
                <w:szCs w:val="21"/>
              </w:rPr>
            </w:pPr>
            <w:r>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92A74F9" w:rsidR="00D43D91" w:rsidRPr="00DD3BB7" w:rsidRDefault="00D43D91" w:rsidP="00D43D91">
            <w:pPr>
              <w:rPr>
                <w:sz w:val="21"/>
                <w:szCs w:val="21"/>
              </w:rPr>
            </w:pPr>
            <w:r>
              <w:rPr>
                <w:color w:val="000000"/>
              </w:rPr>
              <w:t>Research gaps are unclear or missing</w:t>
            </w:r>
          </w:p>
        </w:tc>
      </w:tr>
      <w:tr w:rsidR="00D43D91"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21A672B" w:rsidR="00D43D91" w:rsidRPr="00DD3BB7" w:rsidRDefault="00D43D91" w:rsidP="00D43D91">
            <w:pPr>
              <w:rPr>
                <w:b/>
                <w:bCs/>
                <w:sz w:val="21"/>
                <w:szCs w:val="21"/>
              </w:rPr>
            </w:pPr>
            <w:r>
              <w:rPr>
                <w:rStyle w:val="Strong"/>
                <w:color w:val="000000"/>
              </w:rPr>
              <w:t>Future Directions &amp; 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F023B04" w:rsidR="00D43D91" w:rsidRPr="00DD3BB7" w:rsidRDefault="00D43D91" w:rsidP="00D43D91">
            <w:pPr>
              <w:rPr>
                <w:b/>
                <w:bCs/>
                <w:sz w:val="21"/>
                <w:szCs w:val="21"/>
              </w:rPr>
            </w:pPr>
            <w:r>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5C4BC33E" w:rsidR="00D43D91" w:rsidRPr="00DD3BB7" w:rsidRDefault="00D43D91" w:rsidP="00D43D91">
            <w:pPr>
              <w:rPr>
                <w:sz w:val="21"/>
                <w:szCs w:val="21"/>
              </w:rPr>
            </w:pPr>
            <w:r>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171F39F" w:rsidR="00D43D91" w:rsidRPr="00DD3BB7" w:rsidRDefault="00D43D91" w:rsidP="00D43D91">
            <w:pPr>
              <w:rPr>
                <w:sz w:val="21"/>
                <w:szCs w:val="21"/>
              </w:rPr>
            </w:pPr>
            <w:r>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1374A9A3" w:rsidR="00D43D91" w:rsidRPr="00DD3BB7" w:rsidRDefault="00D43D91" w:rsidP="00D43D91">
            <w:pPr>
              <w:rPr>
                <w:sz w:val="21"/>
                <w:szCs w:val="21"/>
              </w:rPr>
            </w:pPr>
            <w:r>
              <w:rPr>
                <w:color w:val="000000"/>
              </w:rPr>
              <w:t>Future directions are missing or unrelated</w:t>
            </w:r>
          </w:p>
        </w:tc>
      </w:tr>
      <w:tr w:rsidR="00D43D91"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466C704" w:rsidR="00D43D91" w:rsidRPr="00DD3BB7" w:rsidRDefault="00D43D91" w:rsidP="00D43D91">
            <w:pPr>
              <w:rPr>
                <w:b/>
                <w:bCs/>
                <w:sz w:val="21"/>
                <w:szCs w:val="21"/>
              </w:rPr>
            </w:pPr>
            <w:r>
              <w:rPr>
                <w:rStyle w:val="Strong"/>
                <w:color w:val="000000"/>
              </w:rPr>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215200D6" w:rsidR="00D43D91" w:rsidRPr="00DD3BB7" w:rsidRDefault="00D43D91" w:rsidP="00D43D91">
            <w:pPr>
              <w:rPr>
                <w:b/>
                <w:bCs/>
                <w:sz w:val="21"/>
                <w:szCs w:val="21"/>
              </w:rPr>
            </w:pPr>
            <w:r>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37D0111" w:rsidR="00D43D91" w:rsidRPr="00DD3BB7" w:rsidRDefault="00D43D91" w:rsidP="00D43D91">
            <w:pPr>
              <w:rPr>
                <w:sz w:val="21"/>
                <w:szCs w:val="21"/>
              </w:rPr>
            </w:pPr>
            <w:r>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4EF13F05" w:rsidR="00D43D91" w:rsidRPr="00DD3BB7" w:rsidRDefault="00D43D91" w:rsidP="00D43D91">
            <w:pPr>
              <w:rPr>
                <w:sz w:val="21"/>
                <w:szCs w:val="21"/>
              </w:rPr>
            </w:pPr>
            <w:r>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0E15AF8C" w:rsidR="00D43D91" w:rsidRPr="00DD3BB7" w:rsidRDefault="00D43D91" w:rsidP="00D43D91">
            <w:pPr>
              <w:rPr>
                <w:sz w:val="21"/>
                <w:szCs w:val="21"/>
              </w:rPr>
            </w:pPr>
            <w:r>
              <w:rPr>
                <w:color w:val="000000"/>
              </w:rPr>
              <w:t>Poorly organized with inadequate or incorrect references</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3BFDE402" w:rsidR="0023550A" w:rsidRPr="008F3FC9" w:rsidRDefault="00D43D91" w:rsidP="0023550A">
            <w:pPr>
              <w:spacing w:after="50"/>
            </w:pPr>
            <w:r>
              <w:rPr>
                <w:rStyle w:val="Strong"/>
                <w:color w:val="000000"/>
              </w:rPr>
              <w:t>Selection &amp; Review of Research Papers(25%)</w:t>
            </w:r>
          </w:p>
        </w:tc>
        <w:tc>
          <w:tcPr>
            <w:tcW w:w="1418" w:type="dxa"/>
          </w:tcPr>
          <w:p w14:paraId="17D226E8" w14:textId="66626320" w:rsidR="0023550A" w:rsidRDefault="0023550A" w:rsidP="0023550A">
            <w:pPr>
              <w:spacing w:after="50"/>
              <w:jc w:val="center"/>
            </w:pPr>
            <w:r>
              <w:t>/5</w:t>
            </w:r>
          </w:p>
        </w:tc>
      </w:tr>
      <w:tr w:rsidR="00D43D91" w14:paraId="1B3C5DC7" w14:textId="77777777" w:rsidTr="00A078BF">
        <w:trPr>
          <w:jc w:val="center"/>
        </w:trPr>
        <w:tc>
          <w:tcPr>
            <w:tcW w:w="6374" w:type="dxa"/>
            <w:vAlign w:val="center"/>
          </w:tcPr>
          <w:p w14:paraId="3DAB6236" w14:textId="10F7FDF5" w:rsidR="00D43D91" w:rsidRPr="008F3FC9" w:rsidRDefault="00D43D91" w:rsidP="00D43D91">
            <w:pPr>
              <w:spacing w:after="50"/>
            </w:pPr>
            <w:r>
              <w:rPr>
                <w:rStyle w:val="Strong"/>
                <w:color w:val="000000"/>
              </w:rPr>
              <w:t>Comparative Analysis(20%)</w:t>
            </w:r>
          </w:p>
        </w:tc>
        <w:tc>
          <w:tcPr>
            <w:tcW w:w="1418" w:type="dxa"/>
          </w:tcPr>
          <w:p w14:paraId="72E37640" w14:textId="0E9BD675" w:rsidR="00D43D91" w:rsidRDefault="00D43D91" w:rsidP="00D43D91">
            <w:pPr>
              <w:spacing w:after="50"/>
              <w:jc w:val="center"/>
            </w:pPr>
            <w:r>
              <w:t>/5</w:t>
            </w:r>
          </w:p>
        </w:tc>
      </w:tr>
      <w:tr w:rsidR="00EC3345" w14:paraId="4D345600" w14:textId="77777777" w:rsidTr="008F3FC9">
        <w:trPr>
          <w:jc w:val="center"/>
        </w:trPr>
        <w:tc>
          <w:tcPr>
            <w:tcW w:w="6374" w:type="dxa"/>
            <w:vAlign w:val="center"/>
          </w:tcPr>
          <w:p w14:paraId="21A79360" w14:textId="66CABE9F" w:rsidR="00EC3345" w:rsidRPr="008F3FC9" w:rsidRDefault="00D43D91" w:rsidP="00EC3345">
            <w:pPr>
              <w:spacing w:after="50"/>
            </w:pPr>
            <w:r>
              <w:rPr>
                <w:rStyle w:val="Strong"/>
                <w:color w:val="000000"/>
              </w:rPr>
              <w:t>Critical Analysis &amp; Research Gap(25%)</w:t>
            </w:r>
          </w:p>
        </w:tc>
        <w:tc>
          <w:tcPr>
            <w:tcW w:w="1418" w:type="dxa"/>
          </w:tcPr>
          <w:p w14:paraId="34CD90AF" w14:textId="75324410" w:rsidR="00EC3345" w:rsidRDefault="00D43D91" w:rsidP="00EC3345">
            <w:pPr>
              <w:spacing w:after="50"/>
              <w:jc w:val="center"/>
            </w:pPr>
            <w:r>
              <w:t>/5</w:t>
            </w:r>
          </w:p>
        </w:tc>
      </w:tr>
      <w:tr w:rsidR="00EC3345" w14:paraId="2BE28730" w14:textId="77777777" w:rsidTr="008F3FC9">
        <w:trPr>
          <w:jc w:val="center"/>
        </w:trPr>
        <w:tc>
          <w:tcPr>
            <w:tcW w:w="6374" w:type="dxa"/>
            <w:vAlign w:val="center"/>
          </w:tcPr>
          <w:p w14:paraId="4435D2AC" w14:textId="5F594E63" w:rsidR="00EC3345" w:rsidRPr="008F3FC9" w:rsidRDefault="00D43D91" w:rsidP="00EC3345">
            <w:pPr>
              <w:spacing w:after="50"/>
            </w:pPr>
            <w:r>
              <w:rPr>
                <w:rStyle w:val="Strong"/>
                <w:color w:val="000000"/>
              </w:rPr>
              <w:t>Future Directions &amp; Relevance(15%)</w:t>
            </w:r>
          </w:p>
        </w:tc>
        <w:tc>
          <w:tcPr>
            <w:tcW w:w="1418" w:type="dxa"/>
          </w:tcPr>
          <w:p w14:paraId="5FDFE860" w14:textId="12BD3C80" w:rsidR="00EC3345" w:rsidRDefault="00D43D91" w:rsidP="00EC3345">
            <w:pPr>
              <w:spacing w:after="50"/>
              <w:jc w:val="center"/>
            </w:pPr>
            <w:r>
              <w:t>/5</w:t>
            </w:r>
          </w:p>
        </w:tc>
      </w:tr>
      <w:tr w:rsidR="00EC3345" w14:paraId="0CC40C48" w14:textId="77777777" w:rsidTr="00FE4F4E">
        <w:trPr>
          <w:jc w:val="center"/>
        </w:trPr>
        <w:tc>
          <w:tcPr>
            <w:tcW w:w="6374" w:type="dxa"/>
            <w:vAlign w:val="center"/>
          </w:tcPr>
          <w:p w14:paraId="554681F3" w14:textId="25E357D3" w:rsidR="00EC3345" w:rsidRPr="008F3FC9" w:rsidRDefault="00D43D91" w:rsidP="00EC3345">
            <w:pPr>
              <w:spacing w:after="50"/>
            </w:pPr>
            <w:r>
              <w:rPr>
                <w:rStyle w:val="Strong"/>
                <w:color w:val="000000"/>
              </w:rPr>
              <w:t>Documentation, Citations &amp; References(15%)</w:t>
            </w:r>
          </w:p>
        </w:tc>
        <w:tc>
          <w:tcPr>
            <w:tcW w:w="1418" w:type="dxa"/>
          </w:tcPr>
          <w:p w14:paraId="0CF421DE" w14:textId="6201767F" w:rsidR="00EC3345" w:rsidRDefault="00D43D91" w:rsidP="00EC3345">
            <w:pPr>
              <w:spacing w:after="50"/>
              <w:jc w:val="center"/>
            </w:pPr>
            <w:r>
              <w:t>/5</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358FA41F"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1. Introduction</w:t>
      </w:r>
    </w:p>
    <w:p w14:paraId="629808AF" w14:textId="77777777" w:rsidR="00C53746" w:rsidRDefault="00C53746" w:rsidP="00C53746">
      <w:pPr>
        <w:spacing w:after="160" w:line="300" w:lineRule="auto"/>
        <w:jc w:val="both"/>
      </w:pPr>
      <w:r>
        <w:rPr>
          <w:rFonts w:ascii="Calibri" w:eastAsia="Calibri" w:hAnsi="Calibri" w:cs="Calibri"/>
          <w:sz w:val="22"/>
          <w:szCs w:val="22"/>
        </w:rPr>
        <w:t>The rapid adoption of electric vehicles (EVs) and the parallel growth of autonomous mobility-on-demand and ride-hailing fleets have created a pressing need for intelligent, self-managing charging networks. Unlike privately owned EVs, autonomous fleet vehicles must independently decide when, where, and how to charge, while the network operator must simultaneously balance grid stability, station availability, energy cost, and passenger service levels. An Autonomous Electric Vehicle Charging Network Management System therefore combines elements of power-systems engineering, optimization, and artificial intelligence to schedule and coordinate charging across a distributed network of stations and vehicles with minimal human intervention.</w:t>
      </w:r>
    </w:p>
    <w:p w14:paraId="7D921017" w14:textId="77777777" w:rsidR="00C53746" w:rsidRDefault="00C53746" w:rsidP="00C53746">
      <w:pPr>
        <w:spacing w:after="160" w:line="300" w:lineRule="auto"/>
        <w:jc w:val="both"/>
      </w:pPr>
      <w:r>
        <w:rPr>
          <w:rFonts w:ascii="Calibri" w:eastAsia="Calibri" w:hAnsi="Calibri" w:cs="Calibri"/>
          <w:sz w:val="22"/>
          <w:szCs w:val="22"/>
        </w:rPr>
        <w:t xml:space="preserve">This report presents a literature survey conducted on the assigned problem statement. Six research papers spanning infrastructure planning, decentralized grid-aware control, and learning-based scheduling were reviewed, compared on relevant technical parameters, and </w:t>
      </w:r>
      <w:proofErr w:type="spellStart"/>
      <w:r>
        <w:rPr>
          <w:rFonts w:ascii="Calibri" w:eastAsia="Calibri" w:hAnsi="Calibri" w:cs="Calibri"/>
          <w:sz w:val="22"/>
          <w:szCs w:val="22"/>
        </w:rPr>
        <w:t>analyzed</w:t>
      </w:r>
      <w:proofErr w:type="spellEnd"/>
      <w:r>
        <w:rPr>
          <w:rFonts w:ascii="Calibri" w:eastAsia="Calibri" w:hAnsi="Calibri" w:cs="Calibri"/>
          <w:sz w:val="22"/>
          <w:szCs w:val="22"/>
        </w:rPr>
        <w:t xml:space="preserve"> to identify limitations, research gaps, and promising directions for future work.</w:t>
      </w:r>
    </w:p>
    <w:p w14:paraId="67803F7C"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2. Objectives of the Literature Survey</w:t>
      </w:r>
    </w:p>
    <w:p w14:paraId="3E105F13" w14:textId="77777777" w:rsidR="00C53746" w:rsidRDefault="00C53746" w:rsidP="00C53746">
      <w:pPr>
        <w:pStyle w:val="ListParagraph"/>
        <w:numPr>
          <w:ilvl w:val="0"/>
          <w:numId w:val="20"/>
        </w:numPr>
        <w:spacing w:after="100" w:line="300" w:lineRule="auto"/>
      </w:pPr>
      <w:r>
        <w:t>To identify relevant, recent, and credible research papers addressing autonomous EV charging network management.</w:t>
      </w:r>
    </w:p>
    <w:p w14:paraId="151C2C61" w14:textId="77777777" w:rsidR="00C53746" w:rsidRDefault="00C53746" w:rsidP="00C53746">
      <w:pPr>
        <w:pStyle w:val="ListParagraph"/>
        <w:numPr>
          <w:ilvl w:val="0"/>
          <w:numId w:val="20"/>
        </w:numPr>
        <w:spacing w:after="100" w:line="300" w:lineRule="auto"/>
      </w:pPr>
      <w:r>
        <w:t>To summarize the objectives, methodologies, technologies/datasets, and key findings of each selected paper.</w:t>
      </w:r>
    </w:p>
    <w:p w14:paraId="74DF3BDC" w14:textId="77777777" w:rsidR="00C53746" w:rsidRDefault="00C53746" w:rsidP="00C53746">
      <w:pPr>
        <w:pStyle w:val="ListParagraph"/>
        <w:numPr>
          <w:ilvl w:val="0"/>
          <w:numId w:val="20"/>
        </w:numPr>
        <w:spacing w:after="100" w:line="300" w:lineRule="auto"/>
      </w:pPr>
      <w:r>
        <w:t>To compare existing approaches on parameters such as scalability, grid-awareness, computational cost, and adaptability.</w:t>
      </w:r>
    </w:p>
    <w:p w14:paraId="330850B9" w14:textId="77777777" w:rsidR="00C53746" w:rsidRDefault="00C53746" w:rsidP="00C53746">
      <w:pPr>
        <w:pStyle w:val="ListParagraph"/>
        <w:numPr>
          <w:ilvl w:val="0"/>
          <w:numId w:val="20"/>
        </w:numPr>
        <w:spacing w:after="100" w:line="300" w:lineRule="auto"/>
      </w:pPr>
      <w:r>
        <w:t>To identify limitations and challenges present in current research.</w:t>
      </w:r>
    </w:p>
    <w:p w14:paraId="610D8EF7" w14:textId="77777777" w:rsidR="00C53746" w:rsidRDefault="00C53746" w:rsidP="00C53746">
      <w:pPr>
        <w:pStyle w:val="ListParagraph"/>
        <w:numPr>
          <w:ilvl w:val="0"/>
          <w:numId w:val="20"/>
        </w:numPr>
        <w:spacing w:after="100" w:line="300" w:lineRule="auto"/>
      </w:pPr>
      <w:r>
        <w:t>To determine unresolved research gaps relevant to the assigned problem.</w:t>
      </w:r>
    </w:p>
    <w:p w14:paraId="603277B0" w14:textId="77777777" w:rsidR="00C53746" w:rsidRDefault="00C53746" w:rsidP="00C53746">
      <w:pPr>
        <w:pStyle w:val="ListParagraph"/>
        <w:numPr>
          <w:ilvl w:val="0"/>
          <w:numId w:val="20"/>
        </w:numPr>
        <w:spacing w:after="100" w:line="300" w:lineRule="auto"/>
      </w:pPr>
      <w:r>
        <w:t>To propose future research directions that address the identified gaps.</w:t>
      </w:r>
    </w:p>
    <w:p w14:paraId="0B26929A" w14:textId="77777777" w:rsidR="00C53746" w:rsidRDefault="00C53746" w:rsidP="00C53746">
      <w:pPr>
        <w:pStyle w:val="Heading1"/>
        <w:spacing w:before="300" w:after="150"/>
      </w:pPr>
      <w:r w:rsidRPr="00C53746">
        <w:rPr>
          <w:rFonts w:ascii="Calibri" w:eastAsia="Calibri" w:hAnsi="Calibri" w:cs="Calibri"/>
          <w:b/>
          <w:bCs/>
          <w:color w:val="auto"/>
        </w:rPr>
        <w:lastRenderedPageBreak/>
        <w:t>3. Literature Review</w:t>
      </w:r>
    </w:p>
    <w:p w14:paraId="61D2D47E" w14:textId="77777777" w:rsidR="00C53746" w:rsidRPr="00C53746" w:rsidRDefault="00C53746" w:rsidP="00C53746">
      <w:pPr>
        <w:pStyle w:val="Heading2"/>
        <w:spacing w:before="240" w:after="120"/>
        <w:rPr>
          <w:color w:val="auto"/>
        </w:rPr>
      </w:pPr>
      <w:r w:rsidRPr="00C53746">
        <w:rPr>
          <w:rFonts w:ascii="Calibri" w:eastAsia="Calibri" w:hAnsi="Calibri" w:cs="Calibri"/>
          <w:b/>
          <w:bCs/>
          <w:color w:val="auto"/>
        </w:rPr>
        <w:t>3.1 Charging Infrastructure Planning for Autonomous Mobility-on-Demand Fleets (Gao et al., 2024)</w:t>
      </w:r>
    </w:p>
    <w:p w14:paraId="702EC89A" w14:textId="77777777" w:rsidR="00C53746" w:rsidRDefault="00C53746" w:rsidP="00C53746">
      <w:pPr>
        <w:spacing w:after="160" w:line="300" w:lineRule="auto"/>
        <w:jc w:val="both"/>
      </w:pPr>
      <w:r>
        <w:rPr>
          <w:rFonts w:ascii="Calibri" w:eastAsia="Calibri" w:hAnsi="Calibri" w:cs="Calibri"/>
          <w:sz w:val="22"/>
          <w:szCs w:val="22"/>
        </w:rPr>
        <w:t>This study addresses infrastructure-level planning for autonomous mobility-on-demand (</w:t>
      </w:r>
      <w:proofErr w:type="spellStart"/>
      <w:r>
        <w:rPr>
          <w:rFonts w:ascii="Calibri" w:eastAsia="Calibri" w:hAnsi="Calibri" w:cs="Calibri"/>
          <w:sz w:val="22"/>
          <w:szCs w:val="22"/>
        </w:rPr>
        <w:t>AMoD</w:t>
      </w:r>
      <w:proofErr w:type="spellEnd"/>
      <w:r>
        <w:rPr>
          <w:rFonts w:ascii="Calibri" w:eastAsia="Calibri" w:hAnsi="Calibri" w:cs="Calibri"/>
          <w:sz w:val="22"/>
          <w:szCs w:val="22"/>
        </w:rPr>
        <w:t>) EV fleets operated by a transportation network company. The authors develop a bi-level economic equilibrium model that jointly captures passenger incentives, the fleet's charging/operating decisions, and government infrastructure-planning choices. Two replenishment modes — plug-in charging and battery swapping — are compared under this framework using a simulated fleet-operation model. The results show that battery swapping reduces vehicle downtime and is preferable at high fleet utilization, whereas plug-in charging remains more cost-efficient when utilization is lower.</w:t>
      </w:r>
    </w:p>
    <w:p w14:paraId="4DD2AC30" w14:textId="77777777" w:rsidR="00C53746" w:rsidRPr="00C53746" w:rsidRDefault="00C53746" w:rsidP="00C53746">
      <w:pPr>
        <w:pStyle w:val="Heading2"/>
        <w:spacing w:before="240" w:after="120"/>
        <w:rPr>
          <w:color w:val="auto"/>
        </w:rPr>
      </w:pPr>
      <w:r>
        <w:rPr>
          <w:rFonts w:ascii="Calibri" w:eastAsia="Calibri" w:hAnsi="Calibri" w:cs="Calibri"/>
          <w:b/>
          <w:bCs/>
        </w:rPr>
        <w:t>3</w:t>
      </w:r>
      <w:r w:rsidRPr="00C53746">
        <w:rPr>
          <w:rFonts w:ascii="Calibri" w:eastAsia="Calibri" w:hAnsi="Calibri" w:cs="Calibri"/>
          <w:b/>
          <w:bCs/>
          <w:color w:val="auto"/>
        </w:rPr>
        <w:t>.2 Autonomous, Communication-Free Charging Control for Grid Voltage Regulation (Faddel et al., 2022)</w:t>
      </w:r>
    </w:p>
    <w:p w14:paraId="26248B2D" w14:textId="77777777" w:rsidR="00C53746" w:rsidRDefault="00C53746" w:rsidP="00C53746">
      <w:pPr>
        <w:spacing w:after="160" w:line="300" w:lineRule="auto"/>
        <w:jc w:val="both"/>
      </w:pPr>
      <w:r>
        <w:rPr>
          <w:rFonts w:ascii="Calibri" w:eastAsia="Calibri" w:hAnsi="Calibri" w:cs="Calibri"/>
          <w:sz w:val="22"/>
          <w:szCs w:val="22"/>
        </w:rPr>
        <w:t>This paper proposes a fully autonomous EV charging controller based on fuzzy logic that regulates charging rate using only local voltage feedback and the vehicle's state of charge, without requiring any communication link between the EV and the utility. Tested on a distribution feeder using a real-time digital simulator, the controller maintains voltage within acceptable limits under both balanced and unbalanced loading conditions, demonstrating that computational-intelligence techniques can manage charging in real time even in the absence of network connectivity.</w:t>
      </w:r>
    </w:p>
    <w:p w14:paraId="62FBF9BD" w14:textId="77777777" w:rsidR="00C53746" w:rsidRPr="00C53746" w:rsidRDefault="00C53746" w:rsidP="00C53746">
      <w:pPr>
        <w:pStyle w:val="Heading2"/>
        <w:spacing w:before="240" w:after="120"/>
        <w:rPr>
          <w:color w:val="auto"/>
        </w:rPr>
      </w:pPr>
      <w:r w:rsidRPr="00C53746">
        <w:rPr>
          <w:rFonts w:ascii="Calibri" w:eastAsia="Calibri" w:hAnsi="Calibri" w:cs="Calibri"/>
          <w:b/>
          <w:bCs/>
          <w:color w:val="auto"/>
        </w:rPr>
        <w:t>3.3 Distributed Autonomous Coordination of EV Chargers for Grid Services (Bendtsen et al., 2021)</w:t>
      </w:r>
    </w:p>
    <w:p w14:paraId="77A8B0EE" w14:textId="77777777" w:rsidR="00C53746" w:rsidRDefault="00C53746" w:rsidP="00C53746">
      <w:pPr>
        <w:spacing w:after="160" w:line="300" w:lineRule="auto"/>
        <w:jc w:val="both"/>
      </w:pPr>
      <w:r>
        <w:rPr>
          <w:rFonts w:ascii="Calibri" w:eastAsia="Calibri" w:hAnsi="Calibri" w:cs="Calibri"/>
          <w:sz w:val="22"/>
          <w:szCs w:val="22"/>
        </w:rPr>
        <w:t>This work targets the coordination challenge that arises when large numbers of autonomous chargers must jointly provide grid services. The authors propose a distributed control architecture together with a clustering method that groups chargers according to location and capacity, enabling coordinated interaction among the market, transmission/distribution system operators, cloud aggregators, and end users. Simulation on a parking-lot-scale deployment shows that clustering improves scalability of coordination compared with fully centralized control.</w:t>
      </w:r>
    </w:p>
    <w:p w14:paraId="1D98A288" w14:textId="77777777" w:rsidR="00C53746" w:rsidRPr="00C53746" w:rsidRDefault="00C53746" w:rsidP="00C53746">
      <w:pPr>
        <w:pStyle w:val="Heading2"/>
        <w:spacing w:before="240" w:after="120"/>
        <w:rPr>
          <w:color w:val="auto"/>
        </w:rPr>
      </w:pPr>
      <w:r w:rsidRPr="00C53746">
        <w:rPr>
          <w:rFonts w:ascii="Calibri" w:eastAsia="Calibri" w:hAnsi="Calibri" w:cs="Calibri"/>
          <w:b/>
          <w:bCs/>
          <w:color w:val="auto"/>
        </w:rPr>
        <w:t>3.4 Reinforcement-Learning-Based Smart Charging Scheduling (</w:t>
      </w:r>
      <w:proofErr w:type="spellStart"/>
      <w:r w:rsidRPr="00C53746">
        <w:rPr>
          <w:rFonts w:ascii="Calibri" w:eastAsia="Calibri" w:hAnsi="Calibri" w:cs="Calibri"/>
          <w:b/>
          <w:bCs/>
          <w:color w:val="auto"/>
        </w:rPr>
        <w:t>Tuchnitz</w:t>
      </w:r>
      <w:proofErr w:type="spellEnd"/>
      <w:r w:rsidRPr="00C53746">
        <w:rPr>
          <w:rFonts w:ascii="Calibri" w:eastAsia="Calibri" w:hAnsi="Calibri" w:cs="Calibri"/>
          <w:b/>
          <w:bCs/>
          <w:color w:val="auto"/>
        </w:rPr>
        <w:t xml:space="preserve"> et al., 2021)</w:t>
      </w:r>
    </w:p>
    <w:p w14:paraId="03A00FDB" w14:textId="77777777" w:rsidR="00C53746" w:rsidRDefault="00C53746" w:rsidP="00C53746">
      <w:pPr>
        <w:spacing w:after="160" w:line="300" w:lineRule="auto"/>
        <w:jc w:val="both"/>
      </w:pPr>
      <w:r>
        <w:rPr>
          <w:rFonts w:ascii="Calibri" w:eastAsia="Calibri" w:hAnsi="Calibri" w:cs="Calibri"/>
          <w:sz w:val="22"/>
          <w:szCs w:val="22"/>
        </w:rPr>
        <w:t>Rather than relying on advance knowledge of arrival and departure times, this paper proposes a reinforcement-learning-based scheduling system that learns to coordinate an EV fleet's charging process directly from historical and real-time data. The neural-network-based agent approximates near-optimal charging decisions dynamically, offering a flexible and scalable alternative to conventional optimization-based scheduling, particularly when input variables are uncertain or unavailable in advance.</w:t>
      </w:r>
    </w:p>
    <w:p w14:paraId="2E8CECDF" w14:textId="77777777" w:rsidR="00C53746" w:rsidRPr="00C53746" w:rsidRDefault="00C53746" w:rsidP="00C53746">
      <w:pPr>
        <w:pStyle w:val="Heading2"/>
        <w:spacing w:before="240" w:after="120"/>
        <w:rPr>
          <w:color w:val="auto"/>
        </w:rPr>
      </w:pPr>
      <w:r w:rsidRPr="00C53746">
        <w:rPr>
          <w:rFonts w:ascii="Calibri" w:eastAsia="Calibri" w:hAnsi="Calibri" w:cs="Calibri"/>
          <w:b/>
          <w:bCs/>
          <w:color w:val="auto"/>
        </w:rPr>
        <w:t>3.5 Improved Double Deep Q-Learning for Fleet Charging Management (</w:t>
      </w:r>
      <w:proofErr w:type="spellStart"/>
      <w:r w:rsidRPr="00C53746">
        <w:rPr>
          <w:rFonts w:ascii="Calibri" w:eastAsia="Calibri" w:hAnsi="Calibri" w:cs="Calibri"/>
          <w:b/>
          <w:bCs/>
          <w:color w:val="auto"/>
        </w:rPr>
        <w:t>Sultanuddin</w:t>
      </w:r>
      <w:proofErr w:type="spellEnd"/>
      <w:r w:rsidRPr="00C53746">
        <w:rPr>
          <w:rFonts w:ascii="Calibri" w:eastAsia="Calibri" w:hAnsi="Calibri" w:cs="Calibri"/>
          <w:b/>
          <w:bCs/>
          <w:color w:val="auto"/>
        </w:rPr>
        <w:t xml:space="preserve"> et al., 2023)</w:t>
      </w:r>
    </w:p>
    <w:p w14:paraId="6F67F635" w14:textId="77777777" w:rsidR="00C53746" w:rsidRDefault="00C53746" w:rsidP="00C53746">
      <w:pPr>
        <w:spacing w:after="160" w:line="300" w:lineRule="auto"/>
        <w:jc w:val="both"/>
      </w:pPr>
      <w:r>
        <w:rPr>
          <w:rFonts w:ascii="Calibri" w:eastAsia="Calibri" w:hAnsi="Calibri" w:cs="Calibri"/>
          <w:sz w:val="22"/>
          <w:szCs w:val="22"/>
        </w:rPr>
        <w:t xml:space="preserve">This study introduces an improved reinforcement-learning charging management strategy that combines a Double Deep Q-learning approach with supporting optimization (SFO) and prediction (CSGNN) algorithms to prevent grid </w:t>
      </w:r>
      <w:r>
        <w:rPr>
          <w:rFonts w:ascii="Calibri" w:eastAsia="Calibri" w:hAnsi="Calibri" w:cs="Calibri"/>
          <w:sz w:val="22"/>
          <w:szCs w:val="22"/>
        </w:rPr>
        <w:lastRenderedPageBreak/>
        <w:t>overload from simultaneous fleet charging. Evaluated on a MATLAB simulation platform, the approach resolves the value-overestimation problem common in standard deep Q-learning and produces an adjustable, scalable charging strategy suitable for realistic operating conditions.</w:t>
      </w:r>
    </w:p>
    <w:p w14:paraId="025D4F3C" w14:textId="77777777" w:rsidR="00C53746" w:rsidRPr="00C53746" w:rsidRDefault="00C53746" w:rsidP="00C53746">
      <w:pPr>
        <w:pStyle w:val="Heading2"/>
        <w:spacing w:before="240" w:after="120"/>
        <w:rPr>
          <w:color w:val="auto"/>
        </w:rPr>
      </w:pPr>
      <w:r w:rsidRPr="00C53746">
        <w:rPr>
          <w:rFonts w:ascii="Calibri" w:eastAsia="Calibri" w:hAnsi="Calibri" w:cs="Calibri"/>
          <w:b/>
          <w:bCs/>
          <w:color w:val="auto"/>
        </w:rPr>
        <w:t>3.6 Integrated Dispatching and Charging Management for Ride-Hailing Fleets (Yi &amp; Smart, 2021)</w:t>
      </w:r>
    </w:p>
    <w:p w14:paraId="50B56D90" w14:textId="77777777" w:rsidR="00C53746" w:rsidRDefault="00C53746" w:rsidP="00C53746">
      <w:pPr>
        <w:spacing w:after="160" w:line="300" w:lineRule="auto"/>
        <w:jc w:val="both"/>
      </w:pPr>
      <w:r>
        <w:rPr>
          <w:rFonts w:ascii="Calibri" w:eastAsia="Calibri" w:hAnsi="Calibri" w:cs="Calibri"/>
          <w:sz w:val="22"/>
          <w:szCs w:val="22"/>
        </w:rPr>
        <w:t>This paper proposes a framework that jointly optimizes vehicle dispatching and charging management for an autonomous EV ride-hailing fleet, rather than treating the two problems separately. By coordinating dispatch decisions with charging needs, the framework reduces both passenger waiting time and vehicle charging downtime, illustrating the benefit of integrating operational and energy-management decisions within a single control system.</w:t>
      </w:r>
    </w:p>
    <w:p w14:paraId="5B391311"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4. Comparative Analysis</w:t>
      </w:r>
    </w:p>
    <w:p w14:paraId="379D5748" w14:textId="77777777" w:rsidR="00C53746" w:rsidRDefault="00C53746" w:rsidP="00C53746">
      <w:pPr>
        <w:spacing w:after="160" w:line="300" w:lineRule="auto"/>
        <w:jc w:val="both"/>
      </w:pPr>
      <w:r>
        <w:rPr>
          <w:rFonts w:ascii="Calibri" w:eastAsia="Calibri" w:hAnsi="Calibri" w:cs="Calibri"/>
          <w:sz w:val="22"/>
          <w:szCs w:val="22"/>
        </w:rPr>
        <w:t xml:space="preserve">The reviewed papers were compared on the basis of research problem, methodology, dataset/tools used, key findings, limitations, and the research gap each </w:t>
      </w:r>
      <w:proofErr w:type="gramStart"/>
      <w:r>
        <w:rPr>
          <w:rFonts w:ascii="Calibri" w:eastAsia="Calibri" w:hAnsi="Calibri" w:cs="Calibri"/>
          <w:sz w:val="22"/>
          <w:szCs w:val="22"/>
        </w:rPr>
        <w:t>leaves</w:t>
      </w:r>
      <w:proofErr w:type="gramEnd"/>
      <w:r>
        <w:rPr>
          <w:rFonts w:ascii="Calibri" w:eastAsia="Calibri" w:hAnsi="Calibri" w:cs="Calibri"/>
          <w:sz w:val="22"/>
          <w:szCs w:val="22"/>
        </w:rPr>
        <w:t xml:space="preserve"> open. Table 1 summarizes this comparison.</w:t>
      </w:r>
    </w:p>
    <w:p w14:paraId="2A2A3269" w14:textId="77777777" w:rsidR="00C53746" w:rsidRDefault="00C53746" w:rsidP="00C53746">
      <w:pPr>
        <w:spacing w:before="80" w:after="120"/>
      </w:pPr>
      <w:r>
        <w:rPr>
          <w:rFonts w:ascii="Calibri" w:eastAsia="Calibri" w:hAnsi="Calibri" w:cs="Calibri"/>
          <w:b/>
          <w:bCs/>
          <w:i/>
          <w:iCs/>
          <w:sz w:val="20"/>
          <w:szCs w:val="20"/>
        </w:rPr>
        <w:t>Table 1: Comparative Literature Survey Table</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1492"/>
        <w:gridCol w:w="1546"/>
        <w:gridCol w:w="1382"/>
        <w:gridCol w:w="1704"/>
        <w:gridCol w:w="1463"/>
        <w:gridCol w:w="1577"/>
      </w:tblGrid>
      <w:tr w:rsidR="00C53746" w14:paraId="3F03706A" w14:textId="77777777" w:rsidTr="00A10FDC">
        <w:tblPrEx>
          <w:tblCellMar>
            <w:top w:w="0" w:type="dxa"/>
            <w:bottom w:w="0" w:type="dxa"/>
          </w:tblCellMar>
        </w:tblPrEx>
        <w:trPr>
          <w:tblHeader/>
        </w:trPr>
        <w:tc>
          <w:tcPr>
            <w:tcW w:w="1200" w:type="dxa"/>
            <w:shd w:val="clear" w:color="auto" w:fill="4472C4"/>
            <w:tcMar>
              <w:top w:w="80" w:type="dxa"/>
              <w:left w:w="100" w:type="dxa"/>
              <w:bottom w:w="80" w:type="dxa"/>
              <w:right w:w="100" w:type="dxa"/>
            </w:tcMar>
            <w:vAlign w:val="center"/>
          </w:tcPr>
          <w:p w14:paraId="2FDCA409" w14:textId="77777777" w:rsidR="00C53746" w:rsidRDefault="00C53746" w:rsidP="00A10FDC">
            <w:r>
              <w:rPr>
                <w:rFonts w:ascii="Calibri" w:eastAsia="Calibri" w:hAnsi="Calibri" w:cs="Calibri"/>
                <w:b/>
                <w:bCs/>
                <w:sz w:val="19"/>
                <w:szCs w:val="19"/>
              </w:rPr>
              <w:t>Author / Year</w:t>
            </w:r>
          </w:p>
        </w:tc>
        <w:tc>
          <w:tcPr>
            <w:tcW w:w="1500" w:type="dxa"/>
            <w:shd w:val="clear" w:color="auto" w:fill="4472C4"/>
            <w:tcMar>
              <w:top w:w="80" w:type="dxa"/>
              <w:left w:w="100" w:type="dxa"/>
              <w:bottom w:w="80" w:type="dxa"/>
              <w:right w:w="100" w:type="dxa"/>
            </w:tcMar>
            <w:vAlign w:val="center"/>
          </w:tcPr>
          <w:p w14:paraId="3E8DC875" w14:textId="77777777" w:rsidR="00C53746" w:rsidRDefault="00C53746" w:rsidP="00A10FDC">
            <w:r>
              <w:rPr>
                <w:rFonts w:ascii="Calibri" w:eastAsia="Calibri" w:hAnsi="Calibri" w:cs="Calibri"/>
                <w:b/>
                <w:bCs/>
                <w:sz w:val="19"/>
                <w:szCs w:val="19"/>
              </w:rPr>
              <w:t>Research Problem</w:t>
            </w:r>
          </w:p>
        </w:tc>
        <w:tc>
          <w:tcPr>
            <w:tcW w:w="1600" w:type="dxa"/>
            <w:shd w:val="clear" w:color="auto" w:fill="4472C4"/>
            <w:tcMar>
              <w:top w:w="80" w:type="dxa"/>
              <w:left w:w="100" w:type="dxa"/>
              <w:bottom w:w="80" w:type="dxa"/>
              <w:right w:w="100" w:type="dxa"/>
            </w:tcMar>
            <w:vAlign w:val="center"/>
          </w:tcPr>
          <w:p w14:paraId="60500C84" w14:textId="77777777" w:rsidR="00C53746" w:rsidRDefault="00C53746" w:rsidP="00A10FDC">
            <w:r>
              <w:rPr>
                <w:rFonts w:ascii="Calibri" w:eastAsia="Calibri" w:hAnsi="Calibri" w:cs="Calibri"/>
                <w:b/>
                <w:bCs/>
                <w:sz w:val="19"/>
                <w:szCs w:val="19"/>
              </w:rPr>
              <w:t>Methodology</w:t>
            </w:r>
          </w:p>
        </w:tc>
        <w:tc>
          <w:tcPr>
            <w:tcW w:w="1300" w:type="dxa"/>
            <w:shd w:val="clear" w:color="auto" w:fill="4472C4"/>
            <w:tcMar>
              <w:top w:w="80" w:type="dxa"/>
              <w:left w:w="100" w:type="dxa"/>
              <w:bottom w:w="80" w:type="dxa"/>
              <w:right w:w="100" w:type="dxa"/>
            </w:tcMar>
            <w:vAlign w:val="center"/>
          </w:tcPr>
          <w:p w14:paraId="79FCFFE3" w14:textId="77777777" w:rsidR="00C53746" w:rsidRDefault="00C53746" w:rsidP="00A10FDC">
            <w:r>
              <w:rPr>
                <w:rFonts w:ascii="Calibri" w:eastAsia="Calibri" w:hAnsi="Calibri" w:cs="Calibri"/>
                <w:b/>
                <w:bCs/>
                <w:sz w:val="19"/>
                <w:szCs w:val="19"/>
              </w:rPr>
              <w:t>Dataset / Tools</w:t>
            </w:r>
          </w:p>
        </w:tc>
        <w:tc>
          <w:tcPr>
            <w:tcW w:w="1750" w:type="dxa"/>
            <w:shd w:val="clear" w:color="auto" w:fill="4472C4"/>
            <w:tcMar>
              <w:top w:w="80" w:type="dxa"/>
              <w:left w:w="100" w:type="dxa"/>
              <w:bottom w:w="80" w:type="dxa"/>
              <w:right w:w="100" w:type="dxa"/>
            </w:tcMar>
            <w:vAlign w:val="center"/>
          </w:tcPr>
          <w:p w14:paraId="79F1A2CB" w14:textId="77777777" w:rsidR="00C53746" w:rsidRDefault="00C53746" w:rsidP="00A10FDC">
            <w:r>
              <w:rPr>
                <w:rFonts w:ascii="Calibri" w:eastAsia="Calibri" w:hAnsi="Calibri" w:cs="Calibri"/>
                <w:b/>
                <w:bCs/>
                <w:sz w:val="19"/>
                <w:szCs w:val="19"/>
              </w:rPr>
              <w:t>Key Findings</w:t>
            </w:r>
          </w:p>
        </w:tc>
        <w:tc>
          <w:tcPr>
            <w:tcW w:w="1500" w:type="dxa"/>
            <w:shd w:val="clear" w:color="auto" w:fill="4472C4"/>
            <w:tcMar>
              <w:top w:w="80" w:type="dxa"/>
              <w:left w:w="100" w:type="dxa"/>
              <w:bottom w:w="80" w:type="dxa"/>
              <w:right w:w="100" w:type="dxa"/>
            </w:tcMar>
            <w:vAlign w:val="center"/>
          </w:tcPr>
          <w:p w14:paraId="45FF4559" w14:textId="77777777" w:rsidR="00C53746" w:rsidRDefault="00C53746" w:rsidP="00A10FDC">
            <w:r>
              <w:rPr>
                <w:rFonts w:ascii="Calibri" w:eastAsia="Calibri" w:hAnsi="Calibri" w:cs="Calibri"/>
                <w:b/>
                <w:bCs/>
                <w:sz w:val="19"/>
                <w:szCs w:val="19"/>
              </w:rPr>
              <w:t>Limitations</w:t>
            </w:r>
          </w:p>
        </w:tc>
        <w:tc>
          <w:tcPr>
            <w:tcW w:w="1500" w:type="dxa"/>
            <w:shd w:val="clear" w:color="auto" w:fill="4472C4"/>
            <w:tcMar>
              <w:top w:w="80" w:type="dxa"/>
              <w:left w:w="100" w:type="dxa"/>
              <w:bottom w:w="80" w:type="dxa"/>
              <w:right w:w="100" w:type="dxa"/>
            </w:tcMar>
            <w:vAlign w:val="center"/>
          </w:tcPr>
          <w:p w14:paraId="6D144E0E" w14:textId="77777777" w:rsidR="00C53746" w:rsidRDefault="00C53746" w:rsidP="00A10FDC">
            <w:r>
              <w:rPr>
                <w:rFonts w:ascii="Calibri" w:eastAsia="Calibri" w:hAnsi="Calibri" w:cs="Calibri"/>
                <w:b/>
                <w:bCs/>
                <w:sz w:val="19"/>
                <w:szCs w:val="19"/>
              </w:rPr>
              <w:t>Research Gap</w:t>
            </w:r>
          </w:p>
        </w:tc>
      </w:tr>
      <w:tr w:rsidR="00C53746" w14:paraId="47199403" w14:textId="77777777" w:rsidTr="00A10FDC">
        <w:tblPrEx>
          <w:tblCellMar>
            <w:top w:w="0" w:type="dxa"/>
            <w:bottom w:w="0" w:type="dxa"/>
          </w:tblCellMar>
        </w:tblPrEx>
        <w:tc>
          <w:tcPr>
            <w:tcW w:w="1200" w:type="dxa"/>
            <w:tcMar>
              <w:top w:w="80" w:type="dxa"/>
              <w:left w:w="100" w:type="dxa"/>
              <w:bottom w:w="80" w:type="dxa"/>
              <w:right w:w="100" w:type="dxa"/>
            </w:tcMar>
            <w:vAlign w:val="center"/>
          </w:tcPr>
          <w:p w14:paraId="01FC59C5" w14:textId="77777777" w:rsidR="00C53746" w:rsidRDefault="00C53746" w:rsidP="00A10FDC">
            <w:r>
              <w:rPr>
                <w:rFonts w:ascii="Calibri" w:eastAsia="Calibri" w:hAnsi="Calibri" w:cs="Calibri"/>
                <w:sz w:val="19"/>
                <w:szCs w:val="19"/>
              </w:rPr>
              <w:t>Gao et al., 2024</w:t>
            </w:r>
          </w:p>
        </w:tc>
        <w:tc>
          <w:tcPr>
            <w:tcW w:w="1500" w:type="dxa"/>
            <w:tcMar>
              <w:top w:w="80" w:type="dxa"/>
              <w:left w:w="100" w:type="dxa"/>
              <w:bottom w:w="80" w:type="dxa"/>
              <w:right w:w="100" w:type="dxa"/>
            </w:tcMar>
            <w:vAlign w:val="center"/>
          </w:tcPr>
          <w:p w14:paraId="490C8414" w14:textId="77777777" w:rsidR="00C53746" w:rsidRDefault="00C53746" w:rsidP="00A10FDC">
            <w:r>
              <w:rPr>
                <w:rFonts w:ascii="Calibri" w:eastAsia="Calibri" w:hAnsi="Calibri" w:cs="Calibri"/>
                <w:sz w:val="19"/>
                <w:szCs w:val="19"/>
              </w:rPr>
              <w:t>Charging infrastructure planning for autonomous mobility-on-demand (</w:t>
            </w:r>
            <w:proofErr w:type="spellStart"/>
            <w:r>
              <w:rPr>
                <w:rFonts w:ascii="Calibri" w:eastAsia="Calibri" w:hAnsi="Calibri" w:cs="Calibri"/>
                <w:sz w:val="19"/>
                <w:szCs w:val="19"/>
              </w:rPr>
              <w:t>AMoD</w:t>
            </w:r>
            <w:proofErr w:type="spellEnd"/>
            <w:r>
              <w:rPr>
                <w:rFonts w:ascii="Calibri" w:eastAsia="Calibri" w:hAnsi="Calibri" w:cs="Calibri"/>
                <w:sz w:val="19"/>
                <w:szCs w:val="19"/>
              </w:rPr>
              <w:t>) EV fleets</w:t>
            </w:r>
          </w:p>
        </w:tc>
        <w:tc>
          <w:tcPr>
            <w:tcW w:w="1600" w:type="dxa"/>
            <w:tcMar>
              <w:top w:w="80" w:type="dxa"/>
              <w:left w:w="100" w:type="dxa"/>
              <w:bottom w:w="80" w:type="dxa"/>
              <w:right w:w="100" w:type="dxa"/>
            </w:tcMar>
            <w:vAlign w:val="center"/>
          </w:tcPr>
          <w:p w14:paraId="0033BEE0" w14:textId="77777777" w:rsidR="00C53746" w:rsidRDefault="00C53746" w:rsidP="00A10FDC">
            <w:r>
              <w:rPr>
                <w:rFonts w:ascii="Calibri" w:eastAsia="Calibri" w:hAnsi="Calibri" w:cs="Calibri"/>
                <w:sz w:val="19"/>
                <w:szCs w:val="19"/>
              </w:rPr>
              <w:t>Bi-level economic equilibrium optimization comparing plug-in charging vs. battery swapping</w:t>
            </w:r>
          </w:p>
        </w:tc>
        <w:tc>
          <w:tcPr>
            <w:tcW w:w="1300" w:type="dxa"/>
            <w:tcMar>
              <w:top w:w="80" w:type="dxa"/>
              <w:left w:w="100" w:type="dxa"/>
              <w:bottom w:w="80" w:type="dxa"/>
              <w:right w:w="100" w:type="dxa"/>
            </w:tcMar>
            <w:vAlign w:val="center"/>
          </w:tcPr>
          <w:p w14:paraId="5C2E460E" w14:textId="77777777" w:rsidR="00C53746" w:rsidRDefault="00C53746" w:rsidP="00A10FDC">
            <w:r>
              <w:rPr>
                <w:rFonts w:ascii="Calibri" w:eastAsia="Calibri" w:hAnsi="Calibri" w:cs="Calibri"/>
                <w:sz w:val="19"/>
                <w:szCs w:val="19"/>
              </w:rPr>
              <w:t>Simulated transportation-network-company (TNC) fleet model</w:t>
            </w:r>
          </w:p>
        </w:tc>
        <w:tc>
          <w:tcPr>
            <w:tcW w:w="1750" w:type="dxa"/>
            <w:tcMar>
              <w:top w:w="80" w:type="dxa"/>
              <w:left w:w="100" w:type="dxa"/>
              <w:bottom w:w="80" w:type="dxa"/>
              <w:right w:w="100" w:type="dxa"/>
            </w:tcMar>
            <w:vAlign w:val="center"/>
          </w:tcPr>
          <w:p w14:paraId="76426724" w14:textId="77777777" w:rsidR="00C53746" w:rsidRDefault="00C53746" w:rsidP="00A10FDC">
            <w:r>
              <w:rPr>
                <w:rFonts w:ascii="Calibri" w:eastAsia="Calibri" w:hAnsi="Calibri" w:cs="Calibri"/>
                <w:sz w:val="19"/>
                <w:szCs w:val="19"/>
              </w:rPr>
              <w:t>Battery swapping reduces fleet downtime; plug-in charging is more cost-efficient at low fleet utilization</w:t>
            </w:r>
          </w:p>
        </w:tc>
        <w:tc>
          <w:tcPr>
            <w:tcW w:w="1500" w:type="dxa"/>
            <w:tcMar>
              <w:top w:w="80" w:type="dxa"/>
              <w:left w:w="100" w:type="dxa"/>
              <w:bottom w:w="80" w:type="dxa"/>
              <w:right w:w="100" w:type="dxa"/>
            </w:tcMar>
            <w:vAlign w:val="center"/>
          </w:tcPr>
          <w:p w14:paraId="6C7BD96B" w14:textId="77777777" w:rsidR="00C53746" w:rsidRDefault="00C53746" w:rsidP="00A10FDC">
            <w:r>
              <w:rPr>
                <w:rFonts w:ascii="Calibri" w:eastAsia="Calibri" w:hAnsi="Calibri" w:cs="Calibri"/>
                <w:sz w:val="19"/>
                <w:szCs w:val="19"/>
              </w:rPr>
              <w:t>Assumes static demand patterns; does not model real-time grid congestion</w:t>
            </w:r>
          </w:p>
        </w:tc>
        <w:tc>
          <w:tcPr>
            <w:tcW w:w="1500" w:type="dxa"/>
            <w:tcMar>
              <w:top w:w="80" w:type="dxa"/>
              <w:left w:w="100" w:type="dxa"/>
              <w:bottom w:w="80" w:type="dxa"/>
              <w:right w:w="100" w:type="dxa"/>
            </w:tcMar>
            <w:vAlign w:val="center"/>
          </w:tcPr>
          <w:p w14:paraId="6650DC20" w14:textId="77777777" w:rsidR="00C53746" w:rsidRDefault="00C53746" w:rsidP="00A10FDC">
            <w:r>
              <w:rPr>
                <w:rFonts w:ascii="Calibri" w:eastAsia="Calibri" w:hAnsi="Calibri" w:cs="Calibri"/>
                <w:sz w:val="19"/>
                <w:szCs w:val="19"/>
              </w:rPr>
              <w:t>Lacks integration of dynamic real-time grid load into infrastructure planning</w:t>
            </w:r>
          </w:p>
        </w:tc>
      </w:tr>
      <w:tr w:rsidR="00C53746" w14:paraId="6F912D63" w14:textId="77777777" w:rsidTr="00A10FDC">
        <w:tblPrEx>
          <w:tblCellMar>
            <w:top w:w="0" w:type="dxa"/>
            <w:bottom w:w="0" w:type="dxa"/>
          </w:tblCellMar>
        </w:tblPrEx>
        <w:tc>
          <w:tcPr>
            <w:tcW w:w="1200" w:type="dxa"/>
            <w:tcMar>
              <w:top w:w="80" w:type="dxa"/>
              <w:left w:w="100" w:type="dxa"/>
              <w:bottom w:w="80" w:type="dxa"/>
              <w:right w:w="100" w:type="dxa"/>
            </w:tcMar>
            <w:vAlign w:val="center"/>
          </w:tcPr>
          <w:p w14:paraId="3B500F81" w14:textId="77777777" w:rsidR="00C53746" w:rsidRDefault="00C53746" w:rsidP="00A10FDC">
            <w:r>
              <w:rPr>
                <w:rFonts w:ascii="Calibri" w:eastAsia="Calibri" w:hAnsi="Calibri" w:cs="Calibri"/>
                <w:sz w:val="19"/>
                <w:szCs w:val="19"/>
              </w:rPr>
              <w:t>Faddel et al., 2022</w:t>
            </w:r>
          </w:p>
        </w:tc>
        <w:tc>
          <w:tcPr>
            <w:tcW w:w="1500" w:type="dxa"/>
            <w:tcMar>
              <w:top w:w="80" w:type="dxa"/>
              <w:left w:w="100" w:type="dxa"/>
              <w:bottom w:w="80" w:type="dxa"/>
              <w:right w:w="100" w:type="dxa"/>
            </w:tcMar>
            <w:vAlign w:val="center"/>
          </w:tcPr>
          <w:p w14:paraId="096FAE98" w14:textId="77777777" w:rsidR="00C53746" w:rsidRDefault="00C53746" w:rsidP="00A10FDC">
            <w:r>
              <w:rPr>
                <w:rFonts w:ascii="Calibri" w:eastAsia="Calibri" w:hAnsi="Calibri" w:cs="Calibri"/>
                <w:sz w:val="19"/>
                <w:szCs w:val="19"/>
              </w:rPr>
              <w:t>Decentralized, communication-free control of EV charging in residential distribution networks</w:t>
            </w:r>
          </w:p>
        </w:tc>
        <w:tc>
          <w:tcPr>
            <w:tcW w:w="1600" w:type="dxa"/>
            <w:tcMar>
              <w:top w:w="80" w:type="dxa"/>
              <w:left w:w="100" w:type="dxa"/>
              <w:bottom w:w="80" w:type="dxa"/>
              <w:right w:w="100" w:type="dxa"/>
            </w:tcMar>
            <w:vAlign w:val="center"/>
          </w:tcPr>
          <w:p w14:paraId="1C89B1D2" w14:textId="77777777" w:rsidR="00C53746" w:rsidRDefault="00C53746" w:rsidP="00A10FDC">
            <w:r>
              <w:rPr>
                <w:rFonts w:ascii="Calibri" w:eastAsia="Calibri" w:hAnsi="Calibri" w:cs="Calibri"/>
                <w:sz w:val="19"/>
                <w:szCs w:val="19"/>
              </w:rPr>
              <w:t>Fuzzy-logic-based autonomous voltage-feedback controller</w:t>
            </w:r>
          </w:p>
        </w:tc>
        <w:tc>
          <w:tcPr>
            <w:tcW w:w="1300" w:type="dxa"/>
            <w:tcMar>
              <w:top w:w="80" w:type="dxa"/>
              <w:left w:w="100" w:type="dxa"/>
              <w:bottom w:w="80" w:type="dxa"/>
              <w:right w:w="100" w:type="dxa"/>
            </w:tcMar>
            <w:vAlign w:val="center"/>
          </w:tcPr>
          <w:p w14:paraId="69778C65" w14:textId="77777777" w:rsidR="00C53746" w:rsidRDefault="00C53746" w:rsidP="00A10FDC">
            <w:r>
              <w:rPr>
                <w:rFonts w:ascii="Calibri" w:eastAsia="Calibri" w:hAnsi="Calibri" w:cs="Calibri"/>
                <w:sz w:val="19"/>
                <w:szCs w:val="19"/>
              </w:rPr>
              <w:t>Real-time digital simulator on a distribution feeder test system</w:t>
            </w:r>
          </w:p>
        </w:tc>
        <w:tc>
          <w:tcPr>
            <w:tcW w:w="1750" w:type="dxa"/>
            <w:tcMar>
              <w:top w:w="80" w:type="dxa"/>
              <w:left w:w="100" w:type="dxa"/>
              <w:bottom w:w="80" w:type="dxa"/>
              <w:right w:w="100" w:type="dxa"/>
            </w:tcMar>
            <w:vAlign w:val="center"/>
          </w:tcPr>
          <w:p w14:paraId="2A51E6FE" w14:textId="77777777" w:rsidR="00C53746" w:rsidRDefault="00C53746" w:rsidP="00A10FDC">
            <w:r>
              <w:rPr>
                <w:rFonts w:ascii="Calibri" w:eastAsia="Calibri" w:hAnsi="Calibri" w:cs="Calibri"/>
                <w:sz w:val="19"/>
                <w:szCs w:val="19"/>
              </w:rPr>
              <w:t>Maintains node voltage within limits without EV-to-utility communication; robust under unbalanced loads</w:t>
            </w:r>
          </w:p>
        </w:tc>
        <w:tc>
          <w:tcPr>
            <w:tcW w:w="1500" w:type="dxa"/>
            <w:tcMar>
              <w:top w:w="80" w:type="dxa"/>
              <w:left w:w="100" w:type="dxa"/>
              <w:bottom w:w="80" w:type="dxa"/>
              <w:right w:w="100" w:type="dxa"/>
            </w:tcMar>
            <w:vAlign w:val="center"/>
          </w:tcPr>
          <w:p w14:paraId="2317721F" w14:textId="77777777" w:rsidR="00C53746" w:rsidRDefault="00C53746" w:rsidP="00A10FDC">
            <w:r>
              <w:rPr>
                <w:rFonts w:ascii="Calibri" w:eastAsia="Calibri" w:hAnsi="Calibri" w:cs="Calibri"/>
                <w:sz w:val="19"/>
                <w:szCs w:val="19"/>
              </w:rPr>
              <w:t>Reactive control only; does not optimize for cost or user charging preferences</w:t>
            </w:r>
          </w:p>
        </w:tc>
        <w:tc>
          <w:tcPr>
            <w:tcW w:w="1500" w:type="dxa"/>
            <w:tcMar>
              <w:top w:w="80" w:type="dxa"/>
              <w:left w:w="100" w:type="dxa"/>
              <w:bottom w:w="80" w:type="dxa"/>
              <w:right w:w="100" w:type="dxa"/>
            </w:tcMar>
            <w:vAlign w:val="center"/>
          </w:tcPr>
          <w:p w14:paraId="5581CC8D" w14:textId="77777777" w:rsidR="00C53746" w:rsidRDefault="00C53746" w:rsidP="00A10FDC">
            <w:r>
              <w:rPr>
                <w:rFonts w:ascii="Calibri" w:eastAsia="Calibri" w:hAnsi="Calibri" w:cs="Calibri"/>
                <w:sz w:val="19"/>
                <w:szCs w:val="19"/>
              </w:rPr>
              <w:t>No mechanism to balance grid stability against user satisfaction or cost</w:t>
            </w:r>
          </w:p>
        </w:tc>
      </w:tr>
      <w:tr w:rsidR="00C53746" w14:paraId="6501442E" w14:textId="77777777" w:rsidTr="00A10FDC">
        <w:tblPrEx>
          <w:tblCellMar>
            <w:top w:w="0" w:type="dxa"/>
            <w:bottom w:w="0" w:type="dxa"/>
          </w:tblCellMar>
        </w:tblPrEx>
        <w:tc>
          <w:tcPr>
            <w:tcW w:w="1200" w:type="dxa"/>
            <w:tcMar>
              <w:top w:w="80" w:type="dxa"/>
              <w:left w:w="100" w:type="dxa"/>
              <w:bottom w:w="80" w:type="dxa"/>
              <w:right w:w="100" w:type="dxa"/>
            </w:tcMar>
            <w:vAlign w:val="center"/>
          </w:tcPr>
          <w:p w14:paraId="2F872BF2" w14:textId="77777777" w:rsidR="00C53746" w:rsidRDefault="00C53746" w:rsidP="00A10FDC">
            <w:r>
              <w:rPr>
                <w:rFonts w:ascii="Calibri" w:eastAsia="Calibri" w:hAnsi="Calibri" w:cs="Calibri"/>
                <w:sz w:val="19"/>
                <w:szCs w:val="19"/>
              </w:rPr>
              <w:t>Bendtsen et al., 2021</w:t>
            </w:r>
          </w:p>
        </w:tc>
        <w:tc>
          <w:tcPr>
            <w:tcW w:w="1500" w:type="dxa"/>
            <w:tcMar>
              <w:top w:w="80" w:type="dxa"/>
              <w:left w:w="100" w:type="dxa"/>
              <w:bottom w:w="80" w:type="dxa"/>
              <w:right w:w="100" w:type="dxa"/>
            </w:tcMar>
            <w:vAlign w:val="center"/>
          </w:tcPr>
          <w:p w14:paraId="6FADBBDA" w14:textId="77777777" w:rsidR="00C53746" w:rsidRDefault="00C53746" w:rsidP="00A10FDC">
            <w:r>
              <w:rPr>
                <w:rFonts w:ascii="Calibri" w:eastAsia="Calibri" w:hAnsi="Calibri" w:cs="Calibri"/>
                <w:sz w:val="19"/>
                <w:szCs w:val="19"/>
              </w:rPr>
              <w:t>Coordinating large numbers of autonomous EV chargers for grid services</w:t>
            </w:r>
          </w:p>
        </w:tc>
        <w:tc>
          <w:tcPr>
            <w:tcW w:w="1600" w:type="dxa"/>
            <w:tcMar>
              <w:top w:w="80" w:type="dxa"/>
              <w:left w:w="100" w:type="dxa"/>
              <w:bottom w:w="80" w:type="dxa"/>
              <w:right w:w="100" w:type="dxa"/>
            </w:tcMar>
            <w:vAlign w:val="center"/>
          </w:tcPr>
          <w:p w14:paraId="770C8B56" w14:textId="77777777" w:rsidR="00C53746" w:rsidRDefault="00C53746" w:rsidP="00A10FDC">
            <w:r>
              <w:rPr>
                <w:rFonts w:ascii="Calibri" w:eastAsia="Calibri" w:hAnsi="Calibri" w:cs="Calibri"/>
                <w:sz w:val="19"/>
                <w:szCs w:val="19"/>
              </w:rPr>
              <w:t>Distributed autonomous control architecture with a clustering method for charger coordination</w:t>
            </w:r>
          </w:p>
        </w:tc>
        <w:tc>
          <w:tcPr>
            <w:tcW w:w="1300" w:type="dxa"/>
            <w:tcMar>
              <w:top w:w="80" w:type="dxa"/>
              <w:left w:w="100" w:type="dxa"/>
              <w:bottom w:w="80" w:type="dxa"/>
              <w:right w:w="100" w:type="dxa"/>
            </w:tcMar>
            <w:vAlign w:val="center"/>
          </w:tcPr>
          <w:p w14:paraId="374A46DF" w14:textId="77777777" w:rsidR="00C53746" w:rsidRDefault="00C53746" w:rsidP="00A10FDC">
            <w:r>
              <w:rPr>
                <w:rFonts w:ascii="Calibri" w:eastAsia="Calibri" w:hAnsi="Calibri" w:cs="Calibri"/>
                <w:sz w:val="19"/>
                <w:szCs w:val="19"/>
              </w:rPr>
              <w:t>Simulated multi-charger parking-lot deployment</w:t>
            </w:r>
          </w:p>
        </w:tc>
        <w:tc>
          <w:tcPr>
            <w:tcW w:w="1750" w:type="dxa"/>
            <w:tcMar>
              <w:top w:w="80" w:type="dxa"/>
              <w:left w:w="100" w:type="dxa"/>
              <w:bottom w:w="80" w:type="dxa"/>
              <w:right w:w="100" w:type="dxa"/>
            </w:tcMar>
            <w:vAlign w:val="center"/>
          </w:tcPr>
          <w:p w14:paraId="378DB0C1" w14:textId="77777777" w:rsidR="00C53746" w:rsidRDefault="00C53746" w:rsidP="00A10FDC">
            <w:r>
              <w:rPr>
                <w:rFonts w:ascii="Calibri" w:eastAsia="Calibri" w:hAnsi="Calibri" w:cs="Calibri"/>
                <w:sz w:val="19"/>
                <w:szCs w:val="19"/>
              </w:rPr>
              <w:t>Clustering enables scalable coordination across market, DSO/TSO, and aggregator layers</w:t>
            </w:r>
          </w:p>
        </w:tc>
        <w:tc>
          <w:tcPr>
            <w:tcW w:w="1500" w:type="dxa"/>
            <w:tcMar>
              <w:top w:w="80" w:type="dxa"/>
              <w:left w:w="100" w:type="dxa"/>
              <w:bottom w:w="80" w:type="dxa"/>
              <w:right w:w="100" w:type="dxa"/>
            </w:tcMar>
            <w:vAlign w:val="center"/>
          </w:tcPr>
          <w:p w14:paraId="51C2AA7D" w14:textId="77777777" w:rsidR="00C53746" w:rsidRDefault="00C53746" w:rsidP="00A10FDC">
            <w:r>
              <w:rPr>
                <w:rFonts w:ascii="Calibri" w:eastAsia="Calibri" w:hAnsi="Calibri" w:cs="Calibri"/>
                <w:sz w:val="19"/>
                <w:szCs w:val="19"/>
              </w:rPr>
              <w:t>Clustering thresholds are manually tuned; scalability beyond simulated scale untested</w:t>
            </w:r>
          </w:p>
        </w:tc>
        <w:tc>
          <w:tcPr>
            <w:tcW w:w="1500" w:type="dxa"/>
            <w:tcMar>
              <w:top w:w="80" w:type="dxa"/>
              <w:left w:w="100" w:type="dxa"/>
              <w:bottom w:w="80" w:type="dxa"/>
              <w:right w:w="100" w:type="dxa"/>
            </w:tcMar>
            <w:vAlign w:val="center"/>
          </w:tcPr>
          <w:p w14:paraId="3413571A" w14:textId="77777777" w:rsidR="00C53746" w:rsidRDefault="00C53746" w:rsidP="00A10FDC">
            <w:r>
              <w:rPr>
                <w:rFonts w:ascii="Calibri" w:eastAsia="Calibri" w:hAnsi="Calibri" w:cs="Calibri"/>
                <w:sz w:val="19"/>
                <w:szCs w:val="19"/>
              </w:rPr>
              <w:t>Absence of adaptive, self-tuning clustering for very large charger networks</w:t>
            </w:r>
          </w:p>
        </w:tc>
      </w:tr>
      <w:tr w:rsidR="00C53746" w14:paraId="5032DBCA" w14:textId="77777777" w:rsidTr="00A10FDC">
        <w:tblPrEx>
          <w:tblCellMar>
            <w:top w:w="0" w:type="dxa"/>
            <w:bottom w:w="0" w:type="dxa"/>
          </w:tblCellMar>
        </w:tblPrEx>
        <w:tc>
          <w:tcPr>
            <w:tcW w:w="1200" w:type="dxa"/>
            <w:tcMar>
              <w:top w:w="80" w:type="dxa"/>
              <w:left w:w="100" w:type="dxa"/>
              <w:bottom w:w="80" w:type="dxa"/>
              <w:right w:w="100" w:type="dxa"/>
            </w:tcMar>
            <w:vAlign w:val="center"/>
          </w:tcPr>
          <w:p w14:paraId="7CA17A57" w14:textId="77777777" w:rsidR="00C53746" w:rsidRDefault="00C53746" w:rsidP="00A10FDC">
            <w:proofErr w:type="spellStart"/>
            <w:r>
              <w:rPr>
                <w:rFonts w:ascii="Calibri" w:eastAsia="Calibri" w:hAnsi="Calibri" w:cs="Calibri"/>
                <w:sz w:val="19"/>
                <w:szCs w:val="19"/>
              </w:rPr>
              <w:t>Tuchnitz</w:t>
            </w:r>
            <w:proofErr w:type="spellEnd"/>
            <w:r>
              <w:rPr>
                <w:rFonts w:ascii="Calibri" w:eastAsia="Calibri" w:hAnsi="Calibri" w:cs="Calibri"/>
                <w:sz w:val="19"/>
                <w:szCs w:val="19"/>
              </w:rPr>
              <w:t xml:space="preserve"> et al., 2021</w:t>
            </w:r>
          </w:p>
        </w:tc>
        <w:tc>
          <w:tcPr>
            <w:tcW w:w="1500" w:type="dxa"/>
            <w:tcMar>
              <w:top w:w="80" w:type="dxa"/>
              <w:left w:w="100" w:type="dxa"/>
              <w:bottom w:w="80" w:type="dxa"/>
              <w:right w:w="100" w:type="dxa"/>
            </w:tcMar>
            <w:vAlign w:val="center"/>
          </w:tcPr>
          <w:p w14:paraId="59DF4F72" w14:textId="77777777" w:rsidR="00C53746" w:rsidRDefault="00C53746" w:rsidP="00A10FDC">
            <w:r>
              <w:rPr>
                <w:rFonts w:ascii="Calibri" w:eastAsia="Calibri" w:hAnsi="Calibri" w:cs="Calibri"/>
                <w:sz w:val="19"/>
                <w:szCs w:val="19"/>
              </w:rPr>
              <w:t xml:space="preserve">Real-time, scalable scheduling of EV fleet charging without prior </w:t>
            </w:r>
            <w:r>
              <w:rPr>
                <w:rFonts w:ascii="Calibri" w:eastAsia="Calibri" w:hAnsi="Calibri" w:cs="Calibri"/>
                <w:sz w:val="19"/>
                <w:szCs w:val="19"/>
              </w:rPr>
              <w:lastRenderedPageBreak/>
              <w:t>schedule knowledge</w:t>
            </w:r>
          </w:p>
        </w:tc>
        <w:tc>
          <w:tcPr>
            <w:tcW w:w="1600" w:type="dxa"/>
            <w:tcMar>
              <w:top w:w="80" w:type="dxa"/>
              <w:left w:w="100" w:type="dxa"/>
              <w:bottom w:w="80" w:type="dxa"/>
              <w:right w:w="100" w:type="dxa"/>
            </w:tcMar>
            <w:vAlign w:val="center"/>
          </w:tcPr>
          <w:p w14:paraId="66F79B5C" w14:textId="77777777" w:rsidR="00C53746" w:rsidRDefault="00C53746" w:rsidP="00A10FDC">
            <w:r>
              <w:rPr>
                <w:rFonts w:ascii="Calibri" w:eastAsia="Calibri" w:hAnsi="Calibri" w:cs="Calibri"/>
                <w:sz w:val="19"/>
                <w:szCs w:val="19"/>
              </w:rPr>
              <w:lastRenderedPageBreak/>
              <w:t>Reinforcement learning (neural-network-based) smart charging coordination</w:t>
            </w:r>
          </w:p>
        </w:tc>
        <w:tc>
          <w:tcPr>
            <w:tcW w:w="1300" w:type="dxa"/>
            <w:tcMar>
              <w:top w:w="80" w:type="dxa"/>
              <w:left w:w="100" w:type="dxa"/>
              <w:bottom w:w="80" w:type="dxa"/>
              <w:right w:w="100" w:type="dxa"/>
            </w:tcMar>
            <w:vAlign w:val="center"/>
          </w:tcPr>
          <w:p w14:paraId="440FF52F" w14:textId="77777777" w:rsidR="00C53746" w:rsidRDefault="00C53746" w:rsidP="00A10FDC">
            <w:r>
              <w:rPr>
                <w:rFonts w:ascii="Calibri" w:eastAsia="Calibri" w:hAnsi="Calibri" w:cs="Calibri"/>
                <w:sz w:val="19"/>
                <w:szCs w:val="19"/>
              </w:rPr>
              <w:t>Simulated EV fleet charging scenarios (synthetic data)</w:t>
            </w:r>
          </w:p>
        </w:tc>
        <w:tc>
          <w:tcPr>
            <w:tcW w:w="1750" w:type="dxa"/>
            <w:tcMar>
              <w:top w:w="80" w:type="dxa"/>
              <w:left w:w="100" w:type="dxa"/>
              <w:bottom w:w="80" w:type="dxa"/>
              <w:right w:w="100" w:type="dxa"/>
            </w:tcMar>
            <w:vAlign w:val="center"/>
          </w:tcPr>
          <w:p w14:paraId="333DE0F8" w14:textId="77777777" w:rsidR="00C53746" w:rsidRDefault="00C53746" w:rsidP="00A10FDC">
            <w:r>
              <w:rPr>
                <w:rFonts w:ascii="Calibri" w:eastAsia="Calibri" w:hAnsi="Calibri" w:cs="Calibri"/>
                <w:sz w:val="19"/>
                <w:szCs w:val="19"/>
              </w:rPr>
              <w:t>RL approach adapts to arrival/departure uncertainty better than optimization-based methods</w:t>
            </w:r>
          </w:p>
        </w:tc>
        <w:tc>
          <w:tcPr>
            <w:tcW w:w="1500" w:type="dxa"/>
            <w:tcMar>
              <w:top w:w="80" w:type="dxa"/>
              <w:left w:w="100" w:type="dxa"/>
              <w:bottom w:w="80" w:type="dxa"/>
              <w:right w:w="100" w:type="dxa"/>
            </w:tcMar>
            <w:vAlign w:val="center"/>
          </w:tcPr>
          <w:p w14:paraId="67EC5C37" w14:textId="77777777" w:rsidR="00C53746" w:rsidRDefault="00C53746" w:rsidP="00A10FDC">
            <w:r>
              <w:rPr>
                <w:rFonts w:ascii="Calibri" w:eastAsia="Calibri" w:hAnsi="Calibri" w:cs="Calibri"/>
                <w:sz w:val="19"/>
                <w:szCs w:val="19"/>
              </w:rPr>
              <w:t>Requires large training data; performance not validated on real-world fleet data</w:t>
            </w:r>
          </w:p>
        </w:tc>
        <w:tc>
          <w:tcPr>
            <w:tcW w:w="1500" w:type="dxa"/>
            <w:tcMar>
              <w:top w:w="80" w:type="dxa"/>
              <w:left w:w="100" w:type="dxa"/>
              <w:bottom w:w="80" w:type="dxa"/>
              <w:right w:w="100" w:type="dxa"/>
            </w:tcMar>
            <w:vAlign w:val="center"/>
          </w:tcPr>
          <w:p w14:paraId="719A86D0" w14:textId="77777777" w:rsidR="00C53746" w:rsidRDefault="00C53746" w:rsidP="00A10FDC">
            <w:r>
              <w:rPr>
                <w:rFonts w:ascii="Calibri" w:eastAsia="Calibri" w:hAnsi="Calibri" w:cs="Calibri"/>
                <w:sz w:val="19"/>
                <w:szCs w:val="19"/>
              </w:rPr>
              <w:t>Limited real-world validation and data scarcity for RL training</w:t>
            </w:r>
          </w:p>
        </w:tc>
      </w:tr>
      <w:tr w:rsidR="00C53746" w14:paraId="5ED86ED1" w14:textId="77777777" w:rsidTr="00A10FDC">
        <w:tblPrEx>
          <w:tblCellMar>
            <w:top w:w="0" w:type="dxa"/>
            <w:bottom w:w="0" w:type="dxa"/>
          </w:tblCellMar>
        </w:tblPrEx>
        <w:tc>
          <w:tcPr>
            <w:tcW w:w="1200" w:type="dxa"/>
            <w:tcMar>
              <w:top w:w="80" w:type="dxa"/>
              <w:left w:w="100" w:type="dxa"/>
              <w:bottom w:w="80" w:type="dxa"/>
              <w:right w:w="100" w:type="dxa"/>
            </w:tcMar>
            <w:vAlign w:val="center"/>
          </w:tcPr>
          <w:p w14:paraId="4A26A288" w14:textId="77777777" w:rsidR="00C53746" w:rsidRDefault="00C53746" w:rsidP="00A10FDC">
            <w:proofErr w:type="spellStart"/>
            <w:r>
              <w:rPr>
                <w:rFonts w:ascii="Calibri" w:eastAsia="Calibri" w:hAnsi="Calibri" w:cs="Calibri"/>
                <w:sz w:val="19"/>
                <w:szCs w:val="19"/>
              </w:rPr>
              <w:t>Sultanuddin</w:t>
            </w:r>
            <w:proofErr w:type="spellEnd"/>
            <w:r>
              <w:rPr>
                <w:rFonts w:ascii="Calibri" w:eastAsia="Calibri" w:hAnsi="Calibri" w:cs="Calibri"/>
                <w:sz w:val="19"/>
                <w:szCs w:val="19"/>
              </w:rPr>
              <w:t xml:space="preserve"> et al., 2023</w:t>
            </w:r>
          </w:p>
        </w:tc>
        <w:tc>
          <w:tcPr>
            <w:tcW w:w="1500" w:type="dxa"/>
            <w:tcMar>
              <w:top w:w="80" w:type="dxa"/>
              <w:left w:w="100" w:type="dxa"/>
              <w:bottom w:w="80" w:type="dxa"/>
              <w:right w:w="100" w:type="dxa"/>
            </w:tcMar>
            <w:vAlign w:val="center"/>
          </w:tcPr>
          <w:p w14:paraId="4736268E" w14:textId="77777777" w:rsidR="00C53746" w:rsidRDefault="00C53746" w:rsidP="00A10FDC">
            <w:r>
              <w:rPr>
                <w:rFonts w:ascii="Calibri" w:eastAsia="Calibri" w:hAnsi="Calibri" w:cs="Calibri"/>
                <w:sz w:val="19"/>
                <w:szCs w:val="19"/>
              </w:rPr>
              <w:t>Preventing grid overload from simultaneous EV fleet charging</w:t>
            </w:r>
          </w:p>
        </w:tc>
        <w:tc>
          <w:tcPr>
            <w:tcW w:w="1600" w:type="dxa"/>
            <w:tcMar>
              <w:top w:w="80" w:type="dxa"/>
              <w:left w:w="100" w:type="dxa"/>
              <w:bottom w:w="80" w:type="dxa"/>
              <w:right w:w="100" w:type="dxa"/>
            </w:tcMar>
            <w:vAlign w:val="center"/>
          </w:tcPr>
          <w:p w14:paraId="0371E5B0" w14:textId="77777777" w:rsidR="00C53746" w:rsidRDefault="00C53746" w:rsidP="00A10FDC">
            <w:r>
              <w:rPr>
                <w:rFonts w:ascii="Calibri" w:eastAsia="Calibri" w:hAnsi="Calibri" w:cs="Calibri"/>
                <w:sz w:val="19"/>
                <w:szCs w:val="19"/>
              </w:rPr>
              <w:t>Improved reinforcement learning using Double Deep Q-learning combined with SFO and CSGNN algorithms</w:t>
            </w:r>
          </w:p>
        </w:tc>
        <w:tc>
          <w:tcPr>
            <w:tcW w:w="1300" w:type="dxa"/>
            <w:tcMar>
              <w:top w:w="80" w:type="dxa"/>
              <w:left w:w="100" w:type="dxa"/>
              <w:bottom w:w="80" w:type="dxa"/>
              <w:right w:w="100" w:type="dxa"/>
            </w:tcMar>
            <w:vAlign w:val="center"/>
          </w:tcPr>
          <w:p w14:paraId="43854B15" w14:textId="77777777" w:rsidR="00C53746" w:rsidRDefault="00C53746" w:rsidP="00A10FDC">
            <w:r>
              <w:rPr>
                <w:rFonts w:ascii="Calibri" w:eastAsia="Calibri" w:hAnsi="Calibri" w:cs="Calibri"/>
                <w:sz w:val="19"/>
                <w:szCs w:val="19"/>
              </w:rPr>
              <w:t>MATLAB-based simulation platform</w:t>
            </w:r>
          </w:p>
        </w:tc>
        <w:tc>
          <w:tcPr>
            <w:tcW w:w="1750" w:type="dxa"/>
            <w:tcMar>
              <w:top w:w="80" w:type="dxa"/>
              <w:left w:w="100" w:type="dxa"/>
              <w:bottom w:w="80" w:type="dxa"/>
              <w:right w:w="100" w:type="dxa"/>
            </w:tcMar>
            <w:vAlign w:val="center"/>
          </w:tcPr>
          <w:p w14:paraId="6B9E3CAB" w14:textId="77777777" w:rsidR="00C53746" w:rsidRDefault="00C53746" w:rsidP="00A10FDC">
            <w:r>
              <w:rPr>
                <w:rFonts w:ascii="Calibri" w:eastAsia="Calibri" w:hAnsi="Calibri" w:cs="Calibri"/>
                <w:sz w:val="19"/>
                <w:szCs w:val="19"/>
              </w:rPr>
              <w:t>Resolves the overestimation bias of standard deep Q-learning; adjustable and scalable strategy</w:t>
            </w:r>
          </w:p>
        </w:tc>
        <w:tc>
          <w:tcPr>
            <w:tcW w:w="1500" w:type="dxa"/>
            <w:tcMar>
              <w:top w:w="80" w:type="dxa"/>
              <w:left w:w="100" w:type="dxa"/>
              <w:bottom w:w="80" w:type="dxa"/>
              <w:right w:w="100" w:type="dxa"/>
            </w:tcMar>
            <w:vAlign w:val="center"/>
          </w:tcPr>
          <w:p w14:paraId="308A565F" w14:textId="77777777" w:rsidR="00C53746" w:rsidRDefault="00C53746" w:rsidP="00A10FDC">
            <w:r>
              <w:rPr>
                <w:rFonts w:ascii="Calibri" w:eastAsia="Calibri" w:hAnsi="Calibri" w:cs="Calibri"/>
                <w:sz w:val="19"/>
                <w:szCs w:val="19"/>
              </w:rPr>
              <w:t>High computational overhead; simulation-only evaluation</w:t>
            </w:r>
          </w:p>
        </w:tc>
        <w:tc>
          <w:tcPr>
            <w:tcW w:w="1500" w:type="dxa"/>
            <w:tcMar>
              <w:top w:w="80" w:type="dxa"/>
              <w:left w:w="100" w:type="dxa"/>
              <w:bottom w:w="80" w:type="dxa"/>
              <w:right w:w="100" w:type="dxa"/>
            </w:tcMar>
            <w:vAlign w:val="center"/>
          </w:tcPr>
          <w:p w14:paraId="462043DE" w14:textId="77777777" w:rsidR="00C53746" w:rsidRDefault="00C53746" w:rsidP="00A10FDC">
            <w:r>
              <w:rPr>
                <w:rFonts w:ascii="Calibri" w:eastAsia="Calibri" w:hAnsi="Calibri" w:cs="Calibri"/>
                <w:sz w:val="19"/>
                <w:szCs w:val="19"/>
              </w:rPr>
              <w:t>Needs lightweight/edge-deployable versions for real charging stations</w:t>
            </w:r>
          </w:p>
        </w:tc>
      </w:tr>
      <w:tr w:rsidR="00C53746" w14:paraId="28BDA5EC" w14:textId="77777777" w:rsidTr="00A10FDC">
        <w:tblPrEx>
          <w:tblCellMar>
            <w:top w:w="0" w:type="dxa"/>
            <w:bottom w:w="0" w:type="dxa"/>
          </w:tblCellMar>
        </w:tblPrEx>
        <w:tc>
          <w:tcPr>
            <w:tcW w:w="1200" w:type="dxa"/>
            <w:tcMar>
              <w:top w:w="80" w:type="dxa"/>
              <w:left w:w="100" w:type="dxa"/>
              <w:bottom w:w="80" w:type="dxa"/>
              <w:right w:w="100" w:type="dxa"/>
            </w:tcMar>
            <w:vAlign w:val="center"/>
          </w:tcPr>
          <w:p w14:paraId="30203998" w14:textId="77777777" w:rsidR="00C53746" w:rsidRDefault="00C53746" w:rsidP="00A10FDC">
            <w:r>
              <w:rPr>
                <w:rFonts w:ascii="Calibri" w:eastAsia="Calibri" w:hAnsi="Calibri" w:cs="Calibri"/>
                <w:sz w:val="19"/>
                <w:szCs w:val="19"/>
              </w:rPr>
              <w:t>Yi &amp; Smart, 2021</w:t>
            </w:r>
          </w:p>
        </w:tc>
        <w:tc>
          <w:tcPr>
            <w:tcW w:w="1500" w:type="dxa"/>
            <w:tcMar>
              <w:top w:w="80" w:type="dxa"/>
              <w:left w:w="100" w:type="dxa"/>
              <w:bottom w:w="80" w:type="dxa"/>
              <w:right w:w="100" w:type="dxa"/>
            </w:tcMar>
            <w:vAlign w:val="center"/>
          </w:tcPr>
          <w:p w14:paraId="5F4E44BF" w14:textId="77777777" w:rsidR="00C53746" w:rsidRDefault="00C53746" w:rsidP="00A10FDC">
            <w:r>
              <w:rPr>
                <w:rFonts w:ascii="Calibri" w:eastAsia="Calibri" w:hAnsi="Calibri" w:cs="Calibri"/>
                <w:sz w:val="19"/>
                <w:szCs w:val="19"/>
              </w:rPr>
              <w:t>Joint dispatching and charging management for autonomous EV ride-hailing fleets</w:t>
            </w:r>
          </w:p>
        </w:tc>
        <w:tc>
          <w:tcPr>
            <w:tcW w:w="1600" w:type="dxa"/>
            <w:tcMar>
              <w:top w:w="80" w:type="dxa"/>
              <w:left w:w="100" w:type="dxa"/>
              <w:bottom w:w="80" w:type="dxa"/>
              <w:right w:w="100" w:type="dxa"/>
            </w:tcMar>
            <w:vAlign w:val="center"/>
          </w:tcPr>
          <w:p w14:paraId="58B04CFF" w14:textId="77777777" w:rsidR="00C53746" w:rsidRDefault="00C53746" w:rsidP="00A10FDC">
            <w:r>
              <w:rPr>
                <w:rFonts w:ascii="Calibri" w:eastAsia="Calibri" w:hAnsi="Calibri" w:cs="Calibri"/>
                <w:sz w:val="19"/>
                <w:szCs w:val="19"/>
              </w:rPr>
              <w:t>Integrated dispatching–charging optimization framework</w:t>
            </w:r>
          </w:p>
        </w:tc>
        <w:tc>
          <w:tcPr>
            <w:tcW w:w="1300" w:type="dxa"/>
            <w:tcMar>
              <w:top w:w="80" w:type="dxa"/>
              <w:left w:w="100" w:type="dxa"/>
              <w:bottom w:w="80" w:type="dxa"/>
              <w:right w:w="100" w:type="dxa"/>
            </w:tcMar>
            <w:vAlign w:val="center"/>
          </w:tcPr>
          <w:p w14:paraId="7E86A4E8" w14:textId="77777777" w:rsidR="00C53746" w:rsidRDefault="00C53746" w:rsidP="00A10FDC">
            <w:r>
              <w:rPr>
                <w:rFonts w:ascii="Calibri" w:eastAsia="Calibri" w:hAnsi="Calibri" w:cs="Calibri"/>
                <w:sz w:val="19"/>
                <w:szCs w:val="19"/>
              </w:rPr>
              <w:t>Ride-hailing fleet simulation with charging infrastructure constraints</w:t>
            </w:r>
          </w:p>
        </w:tc>
        <w:tc>
          <w:tcPr>
            <w:tcW w:w="1750" w:type="dxa"/>
            <w:tcMar>
              <w:top w:w="80" w:type="dxa"/>
              <w:left w:w="100" w:type="dxa"/>
              <w:bottom w:w="80" w:type="dxa"/>
              <w:right w:w="100" w:type="dxa"/>
            </w:tcMar>
            <w:vAlign w:val="center"/>
          </w:tcPr>
          <w:p w14:paraId="0E71430F" w14:textId="77777777" w:rsidR="00C53746" w:rsidRDefault="00C53746" w:rsidP="00A10FDC">
            <w:r>
              <w:rPr>
                <w:rFonts w:ascii="Calibri" w:eastAsia="Calibri" w:hAnsi="Calibri" w:cs="Calibri"/>
                <w:sz w:val="19"/>
                <w:szCs w:val="19"/>
              </w:rPr>
              <w:t xml:space="preserve">Joint optimization reduces both </w:t>
            </w:r>
            <w:proofErr w:type="gramStart"/>
            <w:r>
              <w:rPr>
                <w:rFonts w:ascii="Calibri" w:eastAsia="Calibri" w:hAnsi="Calibri" w:cs="Calibri"/>
                <w:sz w:val="19"/>
                <w:szCs w:val="19"/>
              </w:rPr>
              <w:t>passenger</w:t>
            </w:r>
            <w:proofErr w:type="gramEnd"/>
            <w:r>
              <w:rPr>
                <w:rFonts w:ascii="Calibri" w:eastAsia="Calibri" w:hAnsi="Calibri" w:cs="Calibri"/>
                <w:sz w:val="19"/>
                <w:szCs w:val="19"/>
              </w:rPr>
              <w:t xml:space="preserve"> wait time and vehicle charging downtime</w:t>
            </w:r>
          </w:p>
        </w:tc>
        <w:tc>
          <w:tcPr>
            <w:tcW w:w="1500" w:type="dxa"/>
            <w:tcMar>
              <w:top w:w="80" w:type="dxa"/>
              <w:left w:w="100" w:type="dxa"/>
              <w:bottom w:w="80" w:type="dxa"/>
              <w:right w:w="100" w:type="dxa"/>
            </w:tcMar>
            <w:vAlign w:val="center"/>
          </w:tcPr>
          <w:p w14:paraId="2A2643C8" w14:textId="77777777" w:rsidR="00C53746" w:rsidRDefault="00C53746" w:rsidP="00A10FDC">
            <w:r>
              <w:rPr>
                <w:rFonts w:ascii="Calibri" w:eastAsia="Calibri" w:hAnsi="Calibri" w:cs="Calibri"/>
                <w:sz w:val="19"/>
                <w:szCs w:val="19"/>
              </w:rPr>
              <w:t>Framework assumes centralized fleet control; ignores third-party or shared charging networks</w:t>
            </w:r>
          </w:p>
        </w:tc>
        <w:tc>
          <w:tcPr>
            <w:tcW w:w="1500" w:type="dxa"/>
            <w:tcMar>
              <w:top w:w="80" w:type="dxa"/>
              <w:left w:w="100" w:type="dxa"/>
              <w:bottom w:w="80" w:type="dxa"/>
              <w:right w:w="100" w:type="dxa"/>
            </w:tcMar>
            <w:vAlign w:val="center"/>
          </w:tcPr>
          <w:p w14:paraId="19032560" w14:textId="77777777" w:rsidR="00C53746" w:rsidRDefault="00C53746" w:rsidP="00A10FDC">
            <w:r>
              <w:rPr>
                <w:rFonts w:ascii="Calibri" w:eastAsia="Calibri" w:hAnsi="Calibri" w:cs="Calibri"/>
                <w:sz w:val="19"/>
                <w:szCs w:val="19"/>
              </w:rPr>
              <w:t>Little work on decentralized coordination across multiple fleet operators sharing the same charging network</w:t>
            </w:r>
          </w:p>
        </w:tc>
      </w:tr>
    </w:tbl>
    <w:p w14:paraId="0E93249B" w14:textId="77777777" w:rsidR="00C53746" w:rsidRDefault="00C53746" w:rsidP="00C53746">
      <w:pPr>
        <w:spacing w:before="200" w:after="120"/>
      </w:pPr>
    </w:p>
    <w:p w14:paraId="3DF007EE" w14:textId="77777777" w:rsidR="00C53746" w:rsidRDefault="00C53746" w:rsidP="00C53746">
      <w:pPr>
        <w:spacing w:after="160" w:line="300" w:lineRule="auto"/>
        <w:jc w:val="both"/>
      </w:pPr>
      <w:r>
        <w:rPr>
          <w:rFonts w:ascii="Calibri" w:eastAsia="Calibri" w:hAnsi="Calibri" w:cs="Calibri"/>
          <w:sz w:val="22"/>
          <w:szCs w:val="22"/>
        </w:rPr>
        <w:t>Across the six papers, two broad methodological families emerge: (</w:t>
      </w:r>
      <w:proofErr w:type="spellStart"/>
      <w:r>
        <w:rPr>
          <w:rFonts w:ascii="Calibri" w:eastAsia="Calibri" w:hAnsi="Calibri" w:cs="Calibri"/>
          <w:sz w:val="22"/>
          <w:szCs w:val="22"/>
        </w:rPr>
        <w:t>i</w:t>
      </w:r>
      <w:proofErr w:type="spellEnd"/>
      <w:r>
        <w:rPr>
          <w:rFonts w:ascii="Calibri" w:eastAsia="Calibri" w:hAnsi="Calibri" w:cs="Calibri"/>
          <w:sz w:val="22"/>
          <w:szCs w:val="22"/>
        </w:rPr>
        <w:t>) model-based / control-theoretic approaches (economic equilibrium models, fuzzy-logic voltage control, clustering-based distributed control) that offer strong theoretical guarantees and low computational overhead but limited adaptability to unseen conditions; and (ii) learning-based approaches (reinforcement learning, Double Deep Q-learning) that adapt well to uncertainty and scale to larger fleets but require significant training data and computational resources and are largely validated only in simulation.</w:t>
      </w:r>
    </w:p>
    <w:p w14:paraId="16E8D4F8"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5. Limitations and Challenges of Existing Approaches</w:t>
      </w:r>
    </w:p>
    <w:p w14:paraId="7D3EDDD2" w14:textId="77777777" w:rsidR="00C53746" w:rsidRDefault="00C53746" w:rsidP="00C53746">
      <w:pPr>
        <w:pStyle w:val="ListParagraph"/>
        <w:numPr>
          <w:ilvl w:val="0"/>
          <w:numId w:val="20"/>
        </w:numPr>
        <w:spacing w:after="100" w:line="300" w:lineRule="auto"/>
      </w:pPr>
      <w:r>
        <w:t>Most studies validate their approach only in simulation (MATLAB, real-time digital simulators, or synthetic fleet models) rather than on real-world charging networks, limiting confidence in field performance.</w:t>
      </w:r>
    </w:p>
    <w:p w14:paraId="6FD0B62D" w14:textId="77777777" w:rsidR="00C53746" w:rsidRDefault="00C53746" w:rsidP="00C53746">
      <w:pPr>
        <w:pStyle w:val="ListParagraph"/>
        <w:numPr>
          <w:ilvl w:val="0"/>
          <w:numId w:val="20"/>
        </w:numPr>
        <w:spacing w:after="100" w:line="300" w:lineRule="auto"/>
      </w:pPr>
      <w:r>
        <w:t>Grid-aware control methods (fuzzy logic, distributed clustering) are reactive and rarely optimize simultaneously for cost, user convenience, and grid stability.</w:t>
      </w:r>
    </w:p>
    <w:p w14:paraId="34E9C3F9" w14:textId="77777777" w:rsidR="00C53746" w:rsidRDefault="00C53746" w:rsidP="00C53746">
      <w:pPr>
        <w:pStyle w:val="ListParagraph"/>
        <w:numPr>
          <w:ilvl w:val="0"/>
          <w:numId w:val="20"/>
        </w:numPr>
        <w:spacing w:after="100" w:line="300" w:lineRule="auto"/>
      </w:pPr>
      <w:r>
        <w:t>Learning-based methods (RL, Double DQN) require large volumes of training data, which are scarce for real EV fleets, and carry high computational cost that limits deployment on constrained hardware.</w:t>
      </w:r>
    </w:p>
    <w:p w14:paraId="07100964" w14:textId="77777777" w:rsidR="00C53746" w:rsidRDefault="00C53746" w:rsidP="00C53746">
      <w:pPr>
        <w:pStyle w:val="ListParagraph"/>
        <w:numPr>
          <w:ilvl w:val="0"/>
          <w:numId w:val="20"/>
        </w:numPr>
        <w:spacing w:after="100" w:line="300" w:lineRule="auto"/>
      </w:pPr>
      <w:r>
        <w:t>Infrastructure-planning models tend to assume static or centrally controlled demand and do not incorporate real-time grid congestion or multi-operator competition for shared charging resources.</w:t>
      </w:r>
    </w:p>
    <w:p w14:paraId="0D450451" w14:textId="77777777" w:rsidR="00C53746" w:rsidRDefault="00C53746" w:rsidP="00C53746">
      <w:pPr>
        <w:pStyle w:val="ListParagraph"/>
        <w:numPr>
          <w:ilvl w:val="0"/>
          <w:numId w:val="20"/>
        </w:numPr>
        <w:spacing w:after="100" w:line="300" w:lineRule="auto"/>
      </w:pPr>
      <w:r>
        <w:t>Few approaches integrate dispatching, charging scheduling, and grid-service provision into a single unified decision-making system.</w:t>
      </w:r>
    </w:p>
    <w:p w14:paraId="2BC359BD"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6. Identified Research Gaps</w:t>
      </w:r>
    </w:p>
    <w:p w14:paraId="005677FD" w14:textId="77777777" w:rsidR="00C53746" w:rsidRDefault="00C53746" w:rsidP="00C53746">
      <w:pPr>
        <w:pStyle w:val="ListParagraph"/>
        <w:numPr>
          <w:ilvl w:val="0"/>
          <w:numId w:val="20"/>
        </w:numPr>
        <w:spacing w:after="100" w:line="300" w:lineRule="auto"/>
      </w:pPr>
      <w:r>
        <w:lastRenderedPageBreak/>
        <w:t>Lack of a unified framework that jointly optimizes fleet dispatching, charging scheduling, and real-time grid-load balancing for autonomous EV networks.</w:t>
      </w:r>
    </w:p>
    <w:p w14:paraId="1045CD99" w14:textId="77777777" w:rsidR="00C53746" w:rsidRDefault="00C53746" w:rsidP="00C53746">
      <w:pPr>
        <w:pStyle w:val="ListParagraph"/>
        <w:numPr>
          <w:ilvl w:val="0"/>
          <w:numId w:val="20"/>
        </w:numPr>
        <w:spacing w:after="100" w:line="300" w:lineRule="auto"/>
      </w:pPr>
      <w:r>
        <w:t>Limited real-world (field) validation of reinforcement-learning-based charging management systems beyond simulation environments.</w:t>
      </w:r>
    </w:p>
    <w:p w14:paraId="60ED3242" w14:textId="77777777" w:rsidR="00C53746" w:rsidRDefault="00C53746" w:rsidP="00C53746">
      <w:pPr>
        <w:pStyle w:val="ListParagraph"/>
        <w:numPr>
          <w:ilvl w:val="0"/>
          <w:numId w:val="20"/>
        </w:numPr>
        <w:spacing w:after="100" w:line="300" w:lineRule="auto"/>
      </w:pPr>
      <w:r>
        <w:t>Absence of lightweight, edge-deployable learning models that can run on resource-constrained charging-station controllers.</w:t>
      </w:r>
    </w:p>
    <w:p w14:paraId="06AE07B8" w14:textId="77777777" w:rsidR="00C53746" w:rsidRDefault="00C53746" w:rsidP="00C53746">
      <w:pPr>
        <w:pStyle w:val="ListParagraph"/>
        <w:numPr>
          <w:ilvl w:val="0"/>
          <w:numId w:val="20"/>
        </w:numPr>
        <w:spacing w:after="100" w:line="300" w:lineRule="auto"/>
      </w:pPr>
      <w:r>
        <w:t>Insufficient research on decentralized coordination among multiple, independently owned fleet operators sharing a common charging network.</w:t>
      </w:r>
    </w:p>
    <w:p w14:paraId="5D6ADF8E" w14:textId="77777777" w:rsidR="00C53746" w:rsidRDefault="00C53746" w:rsidP="00C53746">
      <w:pPr>
        <w:pStyle w:val="ListParagraph"/>
        <w:numPr>
          <w:ilvl w:val="0"/>
          <w:numId w:val="20"/>
        </w:numPr>
        <w:spacing w:after="100" w:line="300" w:lineRule="auto"/>
      </w:pPr>
      <w:r>
        <w:t>Little attention to adaptive, self-tuning coordination mechanisms (e.g., self-adjusting clustering) that scale automatically as the charger network grows.</w:t>
      </w:r>
    </w:p>
    <w:p w14:paraId="680F2FE3"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7. Future Research Directions</w:t>
      </w:r>
    </w:p>
    <w:p w14:paraId="29AD077C" w14:textId="77777777" w:rsidR="00C53746" w:rsidRDefault="00C53746" w:rsidP="00C53746">
      <w:pPr>
        <w:pStyle w:val="ListParagraph"/>
        <w:numPr>
          <w:ilvl w:val="0"/>
          <w:numId w:val="20"/>
        </w:numPr>
        <w:spacing w:after="100" w:line="300" w:lineRule="auto"/>
      </w:pPr>
      <w:r>
        <w:t>Development of hybrid architectures that combine model-based grid-safety guarantees with reinforcement-learning-based adaptability for both cost and grid-stability optimization.</w:t>
      </w:r>
    </w:p>
    <w:p w14:paraId="6E04E8BA" w14:textId="77777777" w:rsidR="00C53746" w:rsidRDefault="00C53746" w:rsidP="00C53746">
      <w:pPr>
        <w:pStyle w:val="ListParagraph"/>
        <w:numPr>
          <w:ilvl w:val="0"/>
          <w:numId w:val="20"/>
        </w:numPr>
        <w:spacing w:after="100" w:line="300" w:lineRule="auto"/>
      </w:pPr>
      <w:r>
        <w:t>Field trials and pilot deployments of learning-based charging management systems on real autonomous EV fleets to validate simulation-based results.</w:t>
      </w:r>
    </w:p>
    <w:p w14:paraId="4D6108C0" w14:textId="77777777" w:rsidR="00C53746" w:rsidRDefault="00C53746" w:rsidP="00C53746">
      <w:pPr>
        <w:pStyle w:val="ListParagraph"/>
        <w:numPr>
          <w:ilvl w:val="0"/>
          <w:numId w:val="20"/>
        </w:numPr>
        <w:spacing w:after="100" w:line="300" w:lineRule="auto"/>
      </w:pPr>
      <w:r>
        <w:t>Design of federated or transfer-learning approaches that allow RL models to be trained across multiple sites with limited local data, reducing the data-scarcity barrier.</w:t>
      </w:r>
    </w:p>
    <w:p w14:paraId="1E999E38" w14:textId="77777777" w:rsidR="00C53746" w:rsidRDefault="00C53746" w:rsidP="00C53746">
      <w:pPr>
        <w:pStyle w:val="ListParagraph"/>
        <w:numPr>
          <w:ilvl w:val="0"/>
          <w:numId w:val="20"/>
        </w:numPr>
        <w:spacing w:after="100" w:line="300" w:lineRule="auto"/>
      </w:pPr>
      <w:r>
        <w:t>Investigation of multi-operator, market-based coordination mechanisms (e.g., auctions or contracts) for shared charging infrastructure among competing autonomous fleets.</w:t>
      </w:r>
    </w:p>
    <w:p w14:paraId="0657967A" w14:textId="77777777" w:rsidR="00C53746" w:rsidRDefault="00C53746" w:rsidP="00C53746">
      <w:pPr>
        <w:pStyle w:val="ListParagraph"/>
        <w:numPr>
          <w:ilvl w:val="0"/>
          <w:numId w:val="20"/>
        </w:numPr>
        <w:spacing w:after="100" w:line="300" w:lineRule="auto"/>
      </w:pPr>
      <w:r>
        <w:t>Exploration of lightweight/quantized neural network models for deployment on embedded or edge hardware at charging stations, enabling real-time autonomous decision-making without cloud dependency.</w:t>
      </w:r>
    </w:p>
    <w:p w14:paraId="69346869"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8. Conclusion</w:t>
      </w:r>
    </w:p>
    <w:p w14:paraId="1A9676CA" w14:textId="77777777" w:rsidR="00C53746" w:rsidRDefault="00C53746" w:rsidP="00C53746">
      <w:pPr>
        <w:spacing w:after="160" w:line="300" w:lineRule="auto"/>
        <w:jc w:val="both"/>
      </w:pPr>
      <w:r>
        <w:rPr>
          <w:rFonts w:ascii="Calibri" w:eastAsia="Calibri" w:hAnsi="Calibri" w:cs="Calibri"/>
          <w:sz w:val="22"/>
          <w:szCs w:val="22"/>
        </w:rPr>
        <w:t>The reviewed literature demonstrates steady progress toward autonomous, self-managing EV charging networks, moving from purely reactive, communication-free voltage control toward learning-based systems capable of adaptive, fleet-scale scheduling. However, current research remains fragmented across infrastructure planning, grid-aware control, and learning-based scheduling, with limited integration between them and minimal real-world validation. Closing these gaps — particularly through unified, field-validated, and computationally efficient management frameworks — represents a significant opportunity for future research and for the practical deployment of autonomous EV charging network management systems.</w:t>
      </w:r>
    </w:p>
    <w:p w14:paraId="1957D36A" w14:textId="77777777" w:rsidR="00C53746" w:rsidRPr="00C53746" w:rsidRDefault="00C53746" w:rsidP="00C53746">
      <w:pPr>
        <w:pStyle w:val="Heading1"/>
        <w:spacing w:before="300" w:after="150"/>
        <w:rPr>
          <w:color w:val="auto"/>
        </w:rPr>
      </w:pPr>
      <w:r w:rsidRPr="00C53746">
        <w:rPr>
          <w:rFonts w:ascii="Calibri" w:eastAsia="Calibri" w:hAnsi="Calibri" w:cs="Calibri"/>
          <w:b/>
          <w:bCs/>
          <w:color w:val="auto"/>
        </w:rPr>
        <w:t>References</w:t>
      </w:r>
    </w:p>
    <w:p w14:paraId="59564D8B" w14:textId="77777777" w:rsidR="00C53746" w:rsidRDefault="00C53746" w:rsidP="00C53746">
      <w:pPr>
        <w:spacing w:after="160" w:line="300" w:lineRule="auto"/>
      </w:pPr>
      <w:r>
        <w:rPr>
          <w:rFonts w:ascii="Calibri" w:eastAsia="Calibri" w:hAnsi="Calibri" w:cs="Calibri"/>
          <w:sz w:val="22"/>
          <w:szCs w:val="22"/>
        </w:rPr>
        <w:t xml:space="preserve">[1] J. Gao et al., "Charging autonomous electric vehicle fleet for mobility-on-demand services: Plug in or swap </w:t>
      </w:r>
      <w:proofErr w:type="gramStart"/>
      <w:r>
        <w:rPr>
          <w:rFonts w:ascii="Calibri" w:eastAsia="Calibri" w:hAnsi="Calibri" w:cs="Calibri"/>
          <w:sz w:val="22"/>
          <w:szCs w:val="22"/>
        </w:rPr>
        <w:t>out?,</w:t>
      </w:r>
      <w:proofErr w:type="gramEnd"/>
      <w:r>
        <w:rPr>
          <w:rFonts w:ascii="Calibri" w:eastAsia="Calibri" w:hAnsi="Calibri" w:cs="Calibri"/>
          <w:sz w:val="22"/>
          <w:szCs w:val="22"/>
        </w:rPr>
        <w:t>" Transportation Research Part F: Traffic Psychology and Behaviour, 2024.</w:t>
      </w:r>
    </w:p>
    <w:p w14:paraId="5EE9A4A3" w14:textId="77777777" w:rsidR="00C53746" w:rsidRDefault="00C53746" w:rsidP="00C53746">
      <w:pPr>
        <w:spacing w:after="160" w:line="300" w:lineRule="auto"/>
      </w:pPr>
      <w:r>
        <w:rPr>
          <w:rFonts w:ascii="Calibri" w:eastAsia="Calibri" w:hAnsi="Calibri" w:cs="Calibri"/>
          <w:sz w:val="22"/>
          <w:szCs w:val="22"/>
        </w:rPr>
        <w:lastRenderedPageBreak/>
        <w:t>[2] S. Faddel et al., "Autonomous charging management system for electric vehicles," and related work published as "Adaptive charging management for electric and fuel cell vehicles in smart distribution networks: a multi-objective optimization framework," Journal of Big Data, Springer Nature, 2025.</w:t>
      </w:r>
    </w:p>
    <w:p w14:paraId="445DE492" w14:textId="77777777" w:rsidR="00C53746" w:rsidRDefault="00C53746" w:rsidP="00C53746">
      <w:pPr>
        <w:spacing w:after="160" w:line="300" w:lineRule="auto"/>
      </w:pPr>
      <w:r>
        <w:rPr>
          <w:rFonts w:ascii="Calibri" w:eastAsia="Calibri" w:hAnsi="Calibri" w:cs="Calibri"/>
          <w:sz w:val="22"/>
          <w:szCs w:val="22"/>
        </w:rPr>
        <w:t>[3] J. D. Bendtsen et al., "Autonomously Distributed Control of Electric Vehicle Chargers for Grid Services," 2021.</w:t>
      </w:r>
    </w:p>
    <w:p w14:paraId="61168955" w14:textId="77777777" w:rsidR="00C53746" w:rsidRDefault="00C53746" w:rsidP="00C53746">
      <w:pPr>
        <w:spacing w:after="160" w:line="300" w:lineRule="auto"/>
      </w:pPr>
      <w:r>
        <w:rPr>
          <w:rFonts w:ascii="Calibri" w:eastAsia="Calibri" w:hAnsi="Calibri" w:cs="Calibri"/>
          <w:sz w:val="22"/>
          <w:szCs w:val="22"/>
        </w:rPr>
        <w:t xml:space="preserve">[4] D. </w:t>
      </w:r>
      <w:proofErr w:type="spellStart"/>
      <w:r>
        <w:rPr>
          <w:rFonts w:ascii="Calibri" w:eastAsia="Calibri" w:hAnsi="Calibri" w:cs="Calibri"/>
          <w:sz w:val="22"/>
          <w:szCs w:val="22"/>
        </w:rPr>
        <w:t>Tuchnitz</w:t>
      </w:r>
      <w:proofErr w:type="spellEnd"/>
      <w:r>
        <w:rPr>
          <w:rFonts w:ascii="Calibri" w:eastAsia="Calibri" w:hAnsi="Calibri" w:cs="Calibri"/>
          <w:sz w:val="22"/>
          <w:szCs w:val="22"/>
        </w:rPr>
        <w:t xml:space="preserve"> et al., "Smart Scheduling of Electric Vehicles Based on Reinforcement Learning," 2021.</w:t>
      </w:r>
    </w:p>
    <w:p w14:paraId="389F68FB" w14:textId="77777777" w:rsidR="00C53746" w:rsidRDefault="00C53746" w:rsidP="00C53746">
      <w:pPr>
        <w:spacing w:after="160" w:line="300" w:lineRule="auto"/>
      </w:pPr>
      <w:r>
        <w:rPr>
          <w:rFonts w:ascii="Calibri" w:eastAsia="Calibri" w:hAnsi="Calibri" w:cs="Calibri"/>
          <w:sz w:val="22"/>
          <w:szCs w:val="22"/>
        </w:rPr>
        <w:t xml:space="preserve">[5] M. K. </w:t>
      </w:r>
      <w:proofErr w:type="spellStart"/>
      <w:r>
        <w:rPr>
          <w:rFonts w:ascii="Calibri" w:eastAsia="Calibri" w:hAnsi="Calibri" w:cs="Calibri"/>
          <w:sz w:val="22"/>
          <w:szCs w:val="22"/>
        </w:rPr>
        <w:t>Sultanuddin</w:t>
      </w:r>
      <w:proofErr w:type="spellEnd"/>
      <w:r>
        <w:rPr>
          <w:rFonts w:ascii="Calibri" w:eastAsia="Calibri" w:hAnsi="Calibri" w:cs="Calibri"/>
          <w:sz w:val="22"/>
          <w:szCs w:val="22"/>
        </w:rPr>
        <w:t xml:space="preserve"> et al., "Development of improved reinforcement learning smart charging strategy for electric vehicle fleet," Transportation Research Part D: Transport and Environment, 2023.</w:t>
      </w:r>
    </w:p>
    <w:p w14:paraId="568B3CA0" w14:textId="77777777" w:rsidR="00C53746" w:rsidRDefault="00C53746" w:rsidP="00C53746">
      <w:pPr>
        <w:spacing w:after="160" w:line="300" w:lineRule="auto"/>
      </w:pPr>
      <w:r>
        <w:rPr>
          <w:rFonts w:ascii="Calibri" w:eastAsia="Calibri" w:hAnsi="Calibri" w:cs="Calibri"/>
          <w:sz w:val="22"/>
          <w:szCs w:val="22"/>
        </w:rPr>
        <w:t>[6] Z. Yi and J. Smart, "A framework for integrated dispatching and charging management of an autonomous electric vehicle ride-hailing fleet," Transportation Research Part D: Transport and Environment, vol. 95, 2021.</w:t>
      </w:r>
    </w:p>
    <w:p w14:paraId="36A19EFE" w14:textId="77777777" w:rsidR="00C53746" w:rsidRDefault="00C53746" w:rsidP="00C53746">
      <w:pPr>
        <w:spacing w:after="160" w:line="300" w:lineRule="auto"/>
      </w:pPr>
      <w:r>
        <w:rPr>
          <w:rFonts w:ascii="Calibri" w:eastAsia="Calibri" w:hAnsi="Calibri" w:cs="Calibri"/>
          <w:sz w:val="22"/>
          <w:szCs w:val="22"/>
        </w:rPr>
        <w:t xml:space="preserve">[7] "Resource-Oriented Optimization of Electric Vehicle Systems: A Data-Driven Survey on Charging Infrastructure, Scheduling, and Fleet Management," </w:t>
      </w:r>
      <w:proofErr w:type="spellStart"/>
      <w:r>
        <w:rPr>
          <w:rFonts w:ascii="Calibri" w:eastAsia="Calibri" w:hAnsi="Calibri" w:cs="Calibri"/>
          <w:sz w:val="22"/>
          <w:szCs w:val="22"/>
        </w:rPr>
        <w:t>arXiv</w:t>
      </w:r>
      <w:proofErr w:type="spellEnd"/>
      <w:r>
        <w:rPr>
          <w:rFonts w:ascii="Calibri" w:eastAsia="Calibri" w:hAnsi="Calibri" w:cs="Calibri"/>
          <w:sz w:val="22"/>
          <w:szCs w:val="22"/>
        </w:rPr>
        <w:t>, 2025.</w:t>
      </w:r>
    </w:p>
    <w:p w14:paraId="5D911300" w14:textId="77777777" w:rsidR="00DD3BB7" w:rsidRDefault="00DD3BB7">
      <w:pPr>
        <w:rPr>
          <w:b/>
          <w:bCs/>
          <w:color w:val="1F4E79"/>
          <w:sz w:val="26"/>
          <w:szCs w:val="26"/>
        </w:rPr>
      </w:pPr>
    </w:p>
    <w:sectPr w:rsidR="00DD3BB7"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181465-973F-4031-801B-BCC093D63435}"/>
  </w:font>
  <w:font w:name="Calibri">
    <w:panose1 w:val="020F0502020204030204"/>
    <w:charset w:val="00"/>
    <w:family w:val="swiss"/>
    <w:pitch w:val="variable"/>
    <w:sig w:usb0="E4002EFF" w:usb1="C200247B" w:usb2="00000009" w:usb3="00000000" w:csb0="000001FF" w:csb1="00000000"/>
    <w:embedRegular r:id="rId2" w:fontKey="{23DFC304-51A7-4809-B847-C01CB1A1AF67}"/>
    <w:embedBold r:id="rId3" w:fontKey="{536E94A1-7775-4354-8C6B-C87BB27C47C0}"/>
    <w:embedBoldItalic r:id="rId4" w:fontKey="{DFBDF857-1B93-4B3E-83CF-B4B63FB5F565}"/>
  </w:font>
  <w:font w:name="-webkit-standard">
    <w:altName w:val="Cambria"/>
    <w:charset w:val="00"/>
    <w:family w:val="roman"/>
    <w:pitch w:val="default"/>
  </w:font>
  <w:font w:name="Cambria">
    <w:panose1 w:val="02040503050406030204"/>
    <w:charset w:val="00"/>
    <w:family w:val="roman"/>
    <w:pitch w:val="variable"/>
    <w:sig w:usb0="E00006FF" w:usb1="420024FF" w:usb2="02000000" w:usb3="00000000" w:csb0="0000019F" w:csb1="00000000"/>
    <w:embedRegular r:id="rId5" w:fontKey="{E647CF99-C147-4FBD-9F2E-17B9351E61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81D4E"/>
    <w:multiLevelType w:val="hybridMultilevel"/>
    <w:tmpl w:val="CDDAADCA"/>
    <w:lvl w:ilvl="0" w:tplc="CA4C8202">
      <w:start w:val="1"/>
      <w:numFmt w:val="bullet"/>
      <w:lvlText w:val="●"/>
      <w:lvlJc w:val="left"/>
      <w:pPr>
        <w:ind w:left="720" w:hanging="360"/>
      </w:pPr>
    </w:lvl>
    <w:lvl w:ilvl="1" w:tplc="F31651DC">
      <w:start w:val="1"/>
      <w:numFmt w:val="bullet"/>
      <w:lvlText w:val="○"/>
      <w:lvlJc w:val="left"/>
      <w:pPr>
        <w:ind w:left="1440" w:hanging="360"/>
      </w:pPr>
    </w:lvl>
    <w:lvl w:ilvl="2" w:tplc="B7B09302">
      <w:start w:val="1"/>
      <w:numFmt w:val="bullet"/>
      <w:lvlText w:val="■"/>
      <w:lvlJc w:val="left"/>
      <w:pPr>
        <w:ind w:left="2160" w:hanging="360"/>
      </w:pPr>
    </w:lvl>
    <w:lvl w:ilvl="3" w:tplc="5DD8819E">
      <w:start w:val="1"/>
      <w:numFmt w:val="bullet"/>
      <w:lvlText w:val="●"/>
      <w:lvlJc w:val="left"/>
      <w:pPr>
        <w:ind w:left="2880" w:hanging="360"/>
      </w:pPr>
    </w:lvl>
    <w:lvl w:ilvl="4" w:tplc="0EDC8F68">
      <w:start w:val="1"/>
      <w:numFmt w:val="bullet"/>
      <w:lvlText w:val="○"/>
      <w:lvlJc w:val="left"/>
      <w:pPr>
        <w:ind w:left="3600" w:hanging="360"/>
      </w:pPr>
    </w:lvl>
    <w:lvl w:ilvl="5" w:tplc="19B6E2FA">
      <w:start w:val="1"/>
      <w:numFmt w:val="bullet"/>
      <w:lvlText w:val="■"/>
      <w:lvlJc w:val="left"/>
      <w:pPr>
        <w:ind w:left="4320" w:hanging="360"/>
      </w:pPr>
    </w:lvl>
    <w:lvl w:ilvl="6" w:tplc="1B782A80">
      <w:start w:val="1"/>
      <w:numFmt w:val="bullet"/>
      <w:lvlText w:val="●"/>
      <w:lvlJc w:val="left"/>
      <w:pPr>
        <w:ind w:left="5040" w:hanging="360"/>
      </w:pPr>
    </w:lvl>
    <w:lvl w:ilvl="7" w:tplc="C93A3B6A">
      <w:start w:val="1"/>
      <w:numFmt w:val="bullet"/>
      <w:lvlText w:val="●"/>
      <w:lvlJc w:val="left"/>
      <w:pPr>
        <w:ind w:left="5760" w:hanging="360"/>
      </w:pPr>
    </w:lvl>
    <w:lvl w:ilvl="8" w:tplc="C85AB1F0">
      <w:start w:val="1"/>
      <w:numFmt w:val="bullet"/>
      <w:lvlText w:val="●"/>
      <w:lvlJc w:val="left"/>
      <w:pPr>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3"/>
  </w:num>
  <w:num w:numId="3" w16cid:durableId="2035107175">
    <w:abstractNumId w:val="2"/>
  </w:num>
  <w:num w:numId="4" w16cid:durableId="1790852413">
    <w:abstractNumId w:val="5"/>
  </w:num>
  <w:num w:numId="5" w16cid:durableId="766078624">
    <w:abstractNumId w:val="19"/>
  </w:num>
  <w:num w:numId="6" w16cid:durableId="1574971232">
    <w:abstractNumId w:val="9"/>
  </w:num>
  <w:num w:numId="7" w16cid:durableId="1253080223">
    <w:abstractNumId w:val="11"/>
  </w:num>
  <w:num w:numId="8" w16cid:durableId="31271172">
    <w:abstractNumId w:val="8"/>
  </w:num>
  <w:num w:numId="9" w16cid:durableId="1593078928">
    <w:abstractNumId w:val="10"/>
  </w:num>
  <w:num w:numId="10" w16cid:durableId="1498499349">
    <w:abstractNumId w:val="3"/>
  </w:num>
  <w:num w:numId="11" w16cid:durableId="1383753804">
    <w:abstractNumId w:val="17"/>
  </w:num>
  <w:num w:numId="12" w16cid:durableId="125583479">
    <w:abstractNumId w:val="16"/>
  </w:num>
  <w:num w:numId="13" w16cid:durableId="166336943">
    <w:abstractNumId w:val="4"/>
  </w:num>
  <w:num w:numId="14" w16cid:durableId="1214543469">
    <w:abstractNumId w:val="18"/>
  </w:num>
  <w:num w:numId="15" w16cid:durableId="1748841990">
    <w:abstractNumId w:val="0"/>
  </w:num>
  <w:num w:numId="16" w16cid:durableId="1692300128">
    <w:abstractNumId w:val="12"/>
  </w:num>
  <w:num w:numId="17" w16cid:durableId="2016416408">
    <w:abstractNumId w:val="14"/>
  </w:num>
  <w:num w:numId="18" w16cid:durableId="1520466448">
    <w:abstractNumId w:val="6"/>
  </w:num>
  <w:num w:numId="19" w16cid:durableId="1962609532">
    <w:abstractNumId w:val="15"/>
  </w:num>
  <w:num w:numId="20" w16cid:durableId="877933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B7647A"/>
    <w:rsid w:val="00C072B1"/>
    <w:rsid w:val="00C161EC"/>
    <w:rsid w:val="00C53746"/>
    <w:rsid w:val="00C73CE4"/>
    <w:rsid w:val="00CA18C6"/>
    <w:rsid w:val="00CA79E7"/>
    <w:rsid w:val="00D43D91"/>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C53746"/>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2733</Words>
  <Characters>15581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pavithra.V vedhapuri</cp:lastModifiedBy>
  <cp:revision>2</cp:revision>
  <dcterms:created xsi:type="dcterms:W3CDTF">2026-09-01T05:20:00Z</dcterms:created>
  <dcterms:modified xsi:type="dcterms:W3CDTF">2026-09-01T05:20:00Z</dcterms:modified>
</cp:coreProperties>
</file>