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0"/>
      </w:pPr>
    </w:p>
    <w:p>
      <w:pPr>
        <w:spacing w:after="120"/>
      </w:pPr>
      <w:r>
        <w:rPr>
          <w:b/>
          <w:bCs/>
          <w:color w:val="B3651F"/>
          <w:spacing w:val="60"/>
          <w:sz w:val="19"/>
          <w:szCs w:val="19"/>
        </w:rPr>
        <w:t xml:space="preserve">Every task, its owner, and whether it is done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13272F"/>
          <w:sz w:val="56"/>
          <w:szCs w:val="56"/>
        </w:rPr>
        <w:t xml:space="preserve">Nidan — Build Status</w:t>
      </w:r>
    </w:p>
    <w:p>
      <w:pPr>
        <w:spacing w:after="340"/>
      </w:pPr>
      <w:r>
        <w:rPr>
          <w:rFonts w:ascii="Georgia" w:cs="Georgia" w:eastAsia="Georgia" w:hAnsi="Georgia"/>
          <w:color w:val="1F7A8C"/>
          <w:sz w:val="24"/>
          <w:szCs w:val="24"/>
        </w:rPr>
        <w:t xml:space="preserve">Nidan — Bias-Aware Virtual Patient Simulator</w:t>
      </w:r>
    </w:p>
    <w:p>
      <w:pPr>
        <w:pBdr>
          <w:bottom w:val="single" w:color="B3651F" w:sz="12" w:space="6"/>
        </w:pBdr>
        <w:spacing w:after="420"/>
      </w:pPr>
      <w:r>
        <w:t xml:space="preserve"/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Authors       </w:t>
      </w:r>
      <w:r>
        <w:rPr>
          <w:color w:val="13272F"/>
          <w:sz w:val="21"/>
          <w:szCs w:val="21"/>
        </w:rPr>
        <w:t xml:space="preserve">Vraj Patel (202301408) · Yogesh Bagotia (202301114)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Mentor        </w:t>
      </w:r>
      <w:r>
        <w:rPr>
          <w:color w:val="13272F"/>
          <w:sz w:val="21"/>
          <w:szCs w:val="21"/>
        </w:rPr>
        <w:t xml:space="preserve">Abhishek Gupta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Institution   </w:t>
      </w:r>
      <w:r>
        <w:rPr>
          <w:color w:val="13272F"/>
          <w:sz w:val="21"/>
          <w:szCs w:val="21"/>
        </w:rPr>
        <w:t xml:space="preserve">DAU (Dhirubhai Ambani University), Gandhinagar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Status        </w:t>
      </w:r>
      <w:r>
        <w:rPr>
          <w:color w:val="13272F"/>
          <w:sz w:val="21"/>
          <w:szCs w:val="21"/>
        </w:rPr>
        <w:t xml:space="preserve">Generated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Part of       </w:t>
      </w:r>
      <w:r>
        <w:rPr>
          <w:color w:val="13272F"/>
          <w:sz w:val="21"/>
          <w:szCs w:val="21"/>
        </w:rPr>
        <w:t xml:space="preserve">Build log</w:t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4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899"/>
        <w:gridCol w:w="7461"/>
      </w:tblGrid>
      <w:tr>
        <w:trPr>
          <w:tblHeader/>
        </w:trPr>
        <w:tc>
          <w:tcPr>
            <w:tcW w:type="dxa" w:w="189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746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9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Generated</w:t>
            </w:r>
          </w:p>
        </w:tc>
        <w:tc>
          <w:tcPr>
            <w:tcW w:type="dxa" w:w="746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2026-09-12 —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python scripts/build_status.py</w:t>
            </w:r>
          </w:p>
        </w:tc>
      </w:tr>
      <w:tr>
        <w:trPr>
          <w:tblHeader w:val="false"/>
        </w:trPr>
        <w:tc>
          <w:tcPr>
            <w:tcW w:type="dxa" w:w="189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Source</w:t>
            </w:r>
          </w:p>
        </w:tc>
        <w:tc>
          <w:tcPr>
            <w:tcW w:type="dxa" w:w="746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docs/spec/BUILD_PLAN.md</w:t>
            </w:r>
            <w:r>
              <w:rPr>
                <w:color w:val="13272F"/>
                <w:sz w:val="17"/>
                <w:szCs w:val="17"/>
              </w:rPr>
              <w:t xml:space="preserve"> (do not edit this file by hand)</w:t>
            </w:r>
          </w:p>
        </w:tc>
      </w:tr>
      <w:tr>
        <w:trPr>
          <w:tblHeader w:val="false"/>
        </w:trPr>
        <w:tc>
          <w:tcPr>
            <w:tcW w:type="dxa" w:w="189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Tasks complete</w:t>
            </w:r>
          </w:p>
        </w:tc>
        <w:tc>
          <w:tcPr>
            <w:tcW w:type="dxa" w:w="746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9 of 34</w:t>
            </w:r>
            <w:r>
              <w:rPr>
                <w:color w:val="13272F"/>
                <w:sz w:val="17"/>
                <w:szCs w:val="17"/>
              </w:rPr>
              <w:t xml:space="preserve"> (26%)</w:t>
            </w:r>
          </w:p>
        </w:tc>
      </w:tr>
      <w:tr>
        <w:trPr>
          <w:tblHeader w:val="false"/>
        </w:trPr>
        <w:tc>
          <w:tcPr>
            <w:tcW w:type="dxa" w:w="189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Effort</w:t>
            </w:r>
          </w:p>
        </w:tc>
        <w:tc>
          <w:tcPr>
            <w:tcW w:type="dxa" w:w="746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13 d done · 70 d remaining</w:t>
            </w:r>
          </w:p>
        </w:tc>
      </w:tr>
      <w:tr>
        <w:trPr>
          <w:tblHeader w:val="false"/>
        </w:trPr>
        <w:tc>
          <w:tcPr>
            <w:tcW w:type="dxa" w:w="189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Branch</w:t>
            </w:r>
          </w:p>
        </w:tc>
        <w:tc>
          <w:tcPr>
            <w:tcW w:type="dxa" w:w="746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feat/seed-content-and-openapi</w:t>
            </w:r>
          </w:p>
        </w:tc>
      </w:tr>
      <w:tr>
        <w:trPr>
          <w:tblHeader w:val="false"/>
        </w:trPr>
        <w:tc>
          <w:tcPr>
            <w:tcW w:type="dxa" w:w="189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Last commit</w:t>
            </w:r>
          </w:p>
        </w:tc>
        <w:tc>
          <w:tcPr>
            <w:tcW w:type="dxa" w:w="746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9a14faa feat(db): seed content and openapi.yaml (T-011)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Estimates are engineering effort only. They do not include the clinical content authoring that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BUILD_PLAN</w:t>
      </w:r>
      <w:r>
        <w:rPr>
          <w:color w:val="13272F"/>
          <w:sz w:val="20"/>
          <w:szCs w:val="20"/>
        </w:rPr>
        <w:t xml:space="preserve"> §11.1 rates the real critical path — see the last section.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Phases at a glance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4658"/>
        <w:gridCol w:w="684"/>
        <w:gridCol w:w="596"/>
        <w:gridCol w:w="1506"/>
        <w:gridCol w:w="1916"/>
      </w:tblGrid>
      <w:tr>
        <w:trPr>
          <w:tblHeader/>
        </w:trPr>
        <w:tc>
          <w:tcPr>
            <w:tcW w:type="dxa" w:w="465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Phase</w:t>
            </w:r>
          </w:p>
        </w:tc>
        <w:tc>
          <w:tcPr>
            <w:tcW w:type="dxa" w:w="68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Tasks</w:t>
            </w:r>
          </w:p>
        </w:tc>
        <w:tc>
          <w:tcPr>
            <w:tcW w:type="dxa" w:w="59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Done</w:t>
            </w:r>
          </w:p>
        </w:tc>
        <w:tc>
          <w:tcPr>
            <w:tcW w:type="dxa" w:w="150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Effort left</w:t>
            </w:r>
          </w:p>
        </w:tc>
        <w:tc>
          <w:tcPr>
            <w:tcW w:type="dxa" w:w="191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465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Phase 0 — Foundation</w:t>
            </w:r>
          </w:p>
        </w:tc>
        <w:tc>
          <w:tcPr>
            <w:tcW w:type="dxa" w:w="68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7</w:t>
            </w:r>
          </w:p>
        </w:tc>
        <w:tc>
          <w:tcPr>
            <w:tcW w:type="dxa" w:w="59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7</w:t>
            </w:r>
          </w:p>
        </w:tc>
        <w:tc>
          <w:tcPr>
            <w:tcW w:type="dxa" w:w="15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 d</w:t>
            </w:r>
          </w:p>
        </w:tc>
        <w:tc>
          <w:tcPr>
            <w:tcW w:type="dxa" w:w="191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 complete</w:t>
            </w:r>
          </w:p>
        </w:tc>
      </w:tr>
      <w:tr>
        <w:trPr>
          <w:tblHeader w:val="false"/>
        </w:trPr>
        <w:tc>
          <w:tcPr>
            <w:tcW w:type="dxa" w:w="465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Phase 1 — Persistence and accounts</w:t>
            </w:r>
          </w:p>
        </w:tc>
        <w:tc>
          <w:tcPr>
            <w:tcW w:type="dxa" w:w="68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9</w:t>
            </w:r>
          </w:p>
        </w:tc>
        <w:tc>
          <w:tcPr>
            <w:tcW w:type="dxa" w:w="59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</w:t>
            </w:r>
          </w:p>
        </w:tc>
        <w:tc>
          <w:tcPr>
            <w:tcW w:type="dxa" w:w="15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13 d</w:t>
            </w:r>
          </w:p>
        </w:tc>
        <w:tc>
          <w:tcPr>
            <w:tcW w:type="dxa" w:w="191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🟡 in progress</w:t>
            </w:r>
          </w:p>
        </w:tc>
      </w:tr>
      <w:tr>
        <w:trPr>
          <w:tblHeader w:val="false"/>
        </w:trPr>
        <w:tc>
          <w:tcPr>
            <w:tcW w:type="dxa" w:w="465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Phase 2 — Admin console P0</w:t>
            </w:r>
          </w:p>
        </w:tc>
        <w:tc>
          <w:tcPr>
            <w:tcW w:type="dxa" w:w="68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</w:t>
            </w:r>
          </w:p>
        </w:tc>
        <w:tc>
          <w:tcPr>
            <w:tcW w:type="dxa" w:w="59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</w:t>
            </w:r>
          </w:p>
        </w:tc>
        <w:tc>
          <w:tcPr>
            <w:tcW w:type="dxa" w:w="15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12 d</w:t>
            </w:r>
          </w:p>
        </w:tc>
        <w:tc>
          <w:tcPr>
            <w:tcW w:type="dxa" w:w="191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 not started</w:t>
            </w:r>
          </w:p>
        </w:tc>
      </w:tr>
      <w:tr>
        <w:trPr>
          <w:tblHeader w:val="false"/>
        </w:trPr>
        <w:tc>
          <w:tcPr>
            <w:tcW w:type="dxa" w:w="465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Phase 3 — API and web app</w:t>
            </w:r>
          </w:p>
        </w:tc>
        <w:tc>
          <w:tcPr>
            <w:tcW w:type="dxa" w:w="68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8</w:t>
            </w:r>
          </w:p>
        </w:tc>
        <w:tc>
          <w:tcPr>
            <w:tcW w:type="dxa" w:w="59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</w:t>
            </w:r>
          </w:p>
        </w:tc>
        <w:tc>
          <w:tcPr>
            <w:tcW w:type="dxa" w:w="15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28 d</w:t>
            </w:r>
          </w:p>
        </w:tc>
        <w:tc>
          <w:tcPr>
            <w:tcW w:type="dxa" w:w="191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 not started</w:t>
            </w:r>
          </w:p>
        </w:tc>
      </w:tr>
      <w:tr>
        <w:trPr>
          <w:tblHeader w:val="false"/>
        </w:trPr>
        <w:tc>
          <w:tcPr>
            <w:tcW w:type="dxa" w:w="465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Phase 4 — Commercial readiness</w:t>
            </w:r>
          </w:p>
        </w:tc>
        <w:tc>
          <w:tcPr>
            <w:tcW w:type="dxa" w:w="68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6</w:t>
            </w:r>
          </w:p>
        </w:tc>
        <w:tc>
          <w:tcPr>
            <w:tcW w:type="dxa" w:w="59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</w:t>
            </w:r>
          </w:p>
        </w:tc>
        <w:tc>
          <w:tcPr>
            <w:tcW w:type="dxa" w:w="15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17 d</w:t>
            </w:r>
          </w:p>
        </w:tc>
        <w:tc>
          <w:tcPr>
            <w:tcW w:type="dxa" w:w="191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 not started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Phase 0 — Foundation</w:t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7 of 7 complete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553"/>
        <w:gridCol w:w="3939"/>
        <w:gridCol w:w="553"/>
        <w:gridCol w:w="553"/>
        <w:gridCol w:w="598"/>
        <w:gridCol w:w="3164"/>
      </w:tblGrid>
      <w:tr>
        <w:trPr>
          <w:tblHeader/>
        </w:trPr>
        <w:tc>
          <w:tcPr>
            <w:tcW w:type="dxa" w:w="55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93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55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55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Est</w:t>
            </w:r>
          </w:p>
        </w:tc>
        <w:tc>
          <w:tcPr>
            <w:tcW w:type="dxa" w:w="59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Depends</w:t>
            </w:r>
          </w:p>
        </w:tc>
        <w:tc>
          <w:tcPr>
            <w:tcW w:type="dxa" w:w="316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Build log</w:t>
            </w:r>
          </w:p>
        </w:tc>
      </w:tr>
      <w:tr>
        <w:trPr>
          <w:tblHeader w:val="false"/>
        </w:trPr>
        <w:tc>
          <w:tcPr>
            <w:tcW w:type="dxa" w:w="5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</w:t>
            </w:r>
          </w:p>
        </w:tc>
        <w:tc>
          <w:tcPr>
            <w:tcW w:type="dxa" w:w="393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T-001</w:t>
            </w:r>
            <w:r>
              <w:rPr>
                <w:color w:val="13272F"/>
                <w:sz w:val="17"/>
                <w:szCs w:val="17"/>
              </w:rPr>
              <w:t xml:space="preserve"> · Restructure into a nidan/ package</w:t>
            </w:r>
          </w:p>
        </w:tc>
        <w:tc>
          <w:tcPr>
            <w:tcW w:type="dxa" w:w="5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  <w:tc>
          <w:tcPr>
            <w:tcW w:type="dxa" w:w="59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  <w:tc>
          <w:tcPr>
            <w:tcW w:type="dxa" w:w="3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hyperlink w:history="1" r:id="rIdwcutyukgczgb2_mzvgnuc">
              <w:r>
                <w:rPr>
                  <w:color w:val="1F7A8C"/>
                  <w:sz w:val="17"/>
                  <w:szCs w:val="17"/>
                  <w:u w:val="single"/>
                </w:rPr>
                <w:t xml:space="preserve">T-001</w:t>
              </w:r>
            </w:hyperlink>
          </w:p>
        </w:tc>
      </w:tr>
      <w:tr>
        <w:trPr>
          <w:tblHeader w:val="false"/>
        </w:trPr>
        <w:tc>
          <w:tcPr>
            <w:tcW w:type="dxa" w:w="5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</w:t>
            </w:r>
          </w:p>
        </w:tc>
        <w:tc>
          <w:tcPr>
            <w:tcW w:type="dxa" w:w="393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T-002</w:t>
            </w:r>
            <w:r>
              <w:rPr>
                <w:color w:val="13272F"/>
                <w:sz w:val="17"/>
                <w:szCs w:val="17"/>
              </w:rPr>
              <w:t xml:space="preserve"> · Test harness and fake LLM gateway</w:t>
            </w:r>
          </w:p>
        </w:tc>
        <w:tc>
          <w:tcPr>
            <w:tcW w:type="dxa" w:w="5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  <w:tc>
          <w:tcPr>
            <w:tcW w:type="dxa" w:w="59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T-001</w:t>
            </w:r>
          </w:p>
        </w:tc>
        <w:tc>
          <w:tcPr>
            <w:tcW w:type="dxa" w:w="316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hyperlink w:history="1" r:id="rIdkobmp7iqn7bcmkxk0r3eu">
              <w:r>
                <w:rPr>
                  <w:color w:val="1F7A8C"/>
                  <w:sz w:val="17"/>
                  <w:szCs w:val="17"/>
                  <w:u w:val="single"/>
                </w:rPr>
                <w:t xml:space="preserve">T-002</w:t>
              </w:r>
            </w:hyperlink>
          </w:p>
        </w:tc>
      </w:tr>
      <w:tr>
        <w:trPr>
          <w:tblHeader w:val="false"/>
        </w:trPr>
        <w:tc>
          <w:tcPr>
            <w:tcW w:type="dxa" w:w="5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</w:t>
            </w:r>
          </w:p>
        </w:tc>
        <w:tc>
          <w:tcPr>
            <w:tcW w:type="dxa" w:w="393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T-003</w:t>
            </w:r>
            <w:r>
              <w:rPr>
                <w:color w:val="13272F"/>
                <w:sz w:val="17"/>
                <w:szCs w:val="17"/>
              </w:rPr>
              <w:t xml:space="preserve"> · Lexicon disjointness test ⭐</w:t>
            </w:r>
          </w:p>
        </w:tc>
        <w:tc>
          <w:tcPr>
            <w:tcW w:type="dxa" w:w="5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0.5 d</w:t>
            </w:r>
          </w:p>
        </w:tc>
        <w:tc>
          <w:tcPr>
            <w:tcW w:type="dxa" w:w="59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T-002</w:t>
            </w:r>
          </w:p>
        </w:tc>
        <w:tc>
          <w:tcPr>
            <w:tcW w:type="dxa" w:w="3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hyperlink w:history="1" r:id="rIdm4xokrcrfcvljyvq5v2pp">
              <w:r>
                <w:rPr>
                  <w:color w:val="1F7A8C"/>
                  <w:sz w:val="17"/>
                  <w:szCs w:val="17"/>
                  <w:u w:val="single"/>
                </w:rPr>
                <w:t xml:space="preserve">T-003</w:t>
              </w:r>
            </w:hyperlink>
          </w:p>
        </w:tc>
      </w:tr>
      <w:tr>
        <w:trPr>
          <w:tblHeader w:val="false"/>
        </w:trPr>
        <w:tc>
          <w:tcPr>
            <w:tcW w:type="dxa" w:w="5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</w:t>
            </w:r>
          </w:p>
        </w:tc>
        <w:tc>
          <w:tcPr>
            <w:tcW w:type="dxa" w:w="393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T-004</w:t>
            </w:r>
            <w:r>
              <w:rPr>
                <w:color w:val="13272F"/>
                <w:sz w:val="17"/>
                <w:szCs w:val="17"/>
              </w:rPr>
              <w:t xml:space="preserve"> · CI pipeline with the validation gate ⭐</w:t>
            </w:r>
          </w:p>
        </w:tc>
        <w:tc>
          <w:tcPr>
            <w:tcW w:type="dxa" w:w="5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 d</w:t>
            </w:r>
          </w:p>
        </w:tc>
        <w:tc>
          <w:tcPr>
            <w:tcW w:type="dxa" w:w="59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T-002</w:t>
            </w:r>
          </w:p>
        </w:tc>
        <w:tc>
          <w:tcPr>
            <w:tcW w:type="dxa" w:w="316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hyperlink w:history="1" r:id="rIdw2izu3amk1ygyltogkfah">
              <w:r>
                <w:rPr>
                  <w:color w:val="1F7A8C"/>
                  <w:sz w:val="17"/>
                  <w:szCs w:val="17"/>
                  <w:u w:val="single"/>
                </w:rPr>
                <w:t xml:space="preserve">T-004</w:t>
              </w:r>
            </w:hyperlink>
          </w:p>
        </w:tc>
      </w:tr>
      <w:tr>
        <w:trPr>
          <w:tblHeader w:val="false"/>
        </w:trPr>
        <w:tc>
          <w:tcPr>
            <w:tcW w:type="dxa" w:w="5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</w:t>
            </w:r>
          </w:p>
        </w:tc>
        <w:tc>
          <w:tcPr>
            <w:tcW w:type="dxa" w:w="393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T-005</w:t>
            </w:r>
            <w:r>
              <w:rPr>
                <w:color w:val="13272F"/>
                <w:sz w:val="17"/>
                <w:szCs w:val="17"/>
              </w:rPr>
              <w:t xml:space="preserve"> · Docker + docker-compose</w:t>
            </w:r>
          </w:p>
        </w:tc>
        <w:tc>
          <w:tcPr>
            <w:tcW w:type="dxa" w:w="5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 d</w:t>
            </w:r>
          </w:p>
        </w:tc>
        <w:tc>
          <w:tcPr>
            <w:tcW w:type="dxa" w:w="59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T-001</w:t>
            </w:r>
          </w:p>
        </w:tc>
        <w:tc>
          <w:tcPr>
            <w:tcW w:type="dxa" w:w="3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hyperlink w:history="1" r:id="rId_gwd43szzwgqbiwpys5cu">
              <w:r>
                <w:rPr>
                  <w:color w:val="1F7A8C"/>
                  <w:sz w:val="17"/>
                  <w:szCs w:val="17"/>
                  <w:u w:val="single"/>
                </w:rPr>
                <w:t xml:space="preserve">T-005</w:t>
              </w:r>
            </w:hyperlink>
          </w:p>
        </w:tc>
      </w:tr>
      <w:tr>
        <w:trPr>
          <w:tblHeader w:val="false"/>
        </w:trPr>
        <w:tc>
          <w:tcPr>
            <w:tcW w:type="dxa" w:w="5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</w:t>
            </w:r>
          </w:p>
        </w:tc>
        <w:tc>
          <w:tcPr>
            <w:tcW w:type="dxa" w:w="393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T-006</w:t>
            </w:r>
            <w:r>
              <w:rPr>
                <w:color w:val="13272F"/>
                <w:sz w:val="17"/>
                <w:szCs w:val="17"/>
              </w:rPr>
              <w:t xml:space="preserve"> · Typed configuration</w:t>
            </w:r>
          </w:p>
        </w:tc>
        <w:tc>
          <w:tcPr>
            <w:tcW w:type="dxa" w:w="5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 d</w:t>
            </w:r>
          </w:p>
        </w:tc>
        <w:tc>
          <w:tcPr>
            <w:tcW w:type="dxa" w:w="59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T-001</w:t>
            </w:r>
          </w:p>
        </w:tc>
        <w:tc>
          <w:tcPr>
            <w:tcW w:type="dxa" w:w="316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hyperlink w:history="1" r:id="rIdv4s1rnx0l5ss-wwri0w49">
              <w:r>
                <w:rPr>
                  <w:color w:val="1F7A8C"/>
                  <w:sz w:val="17"/>
                  <w:szCs w:val="17"/>
                  <w:u w:val="single"/>
                </w:rPr>
                <w:t xml:space="preserve">T-006</w:t>
              </w:r>
            </w:hyperlink>
          </w:p>
        </w:tc>
      </w:tr>
      <w:tr>
        <w:trPr>
          <w:tblHeader w:val="false"/>
        </w:trPr>
        <w:tc>
          <w:tcPr>
            <w:tcW w:type="dxa" w:w="5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</w:t>
            </w:r>
          </w:p>
        </w:tc>
        <w:tc>
          <w:tcPr>
            <w:tcW w:type="dxa" w:w="393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T-007</w:t>
            </w:r>
            <w:r>
              <w:rPr>
                <w:color w:val="13272F"/>
                <w:sz w:val="17"/>
                <w:szCs w:val="17"/>
              </w:rPr>
              <w:t xml:space="preserve"> · Structured logging and Sentry</w:t>
            </w:r>
          </w:p>
        </w:tc>
        <w:tc>
          <w:tcPr>
            <w:tcW w:type="dxa" w:w="5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0.5 d</w:t>
            </w:r>
          </w:p>
        </w:tc>
        <w:tc>
          <w:tcPr>
            <w:tcW w:type="dxa" w:w="59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T-006</w:t>
            </w:r>
          </w:p>
        </w:tc>
        <w:tc>
          <w:tcPr>
            <w:tcW w:type="dxa" w:w="3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hyperlink w:history="1" r:id="rIdhpjnw9ywlxxotsycbfxpu">
              <w:r>
                <w:rPr>
                  <w:color w:val="1F7A8C"/>
                  <w:sz w:val="17"/>
                  <w:szCs w:val="17"/>
                  <w:u w:val="single"/>
                </w:rPr>
                <w:t xml:space="preserve">T-007</w:t>
              </w:r>
            </w:hyperlink>
          </w:p>
        </w:tc>
      </w:tr>
    </w:tbl>
    <w:p>
      <w:pPr>
        <w:spacing w:after="160"/>
      </w:pP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Phase 1 — Persistence and accounts</w:t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2 of 9 complete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548"/>
        <w:gridCol w:w="3668"/>
        <w:gridCol w:w="548"/>
        <w:gridCol w:w="548"/>
        <w:gridCol w:w="840"/>
        <w:gridCol w:w="3208"/>
      </w:tblGrid>
      <w:tr>
        <w:trPr>
          <w:tblHeader/>
        </w:trPr>
        <w:tc>
          <w:tcPr>
            <w:tcW w:type="dxa" w:w="54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66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54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54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Est</w:t>
            </w:r>
          </w:p>
        </w:tc>
        <w:tc>
          <w:tcPr>
            <w:tcW w:type="dxa" w:w="84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Depends</w:t>
            </w:r>
          </w:p>
        </w:tc>
        <w:tc>
          <w:tcPr>
            <w:tcW w:type="dxa" w:w="320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Build log</w:t>
            </w:r>
          </w:p>
        </w:tc>
      </w:tr>
      <w:tr>
        <w:trPr>
          <w:tblHeader w:val="false"/>
        </w:trPr>
        <w:tc>
          <w:tcPr>
            <w:tcW w:type="dxa" w:w="54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</w:t>
            </w:r>
          </w:p>
        </w:tc>
        <w:tc>
          <w:tcPr>
            <w:tcW w:type="dxa" w:w="36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T-010</w:t>
            </w:r>
            <w:r>
              <w:rPr>
                <w:color w:val="13272F"/>
                <w:sz w:val="17"/>
                <w:szCs w:val="17"/>
              </w:rPr>
              <w:t xml:space="preserve"> · Schema and migrations</w:t>
            </w:r>
          </w:p>
        </w:tc>
        <w:tc>
          <w:tcPr>
            <w:tcW w:type="dxa" w:w="54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4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  <w:tc>
          <w:tcPr>
            <w:tcW w:type="dxa" w:w="8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T-005</w:t>
            </w:r>
          </w:p>
        </w:tc>
        <w:tc>
          <w:tcPr>
            <w:tcW w:type="dxa" w:w="32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hyperlink w:history="1" r:id="rIdxrlccjgko3venf6ye-hoe">
              <w:r>
                <w:rPr>
                  <w:color w:val="1F7A8C"/>
                  <w:sz w:val="17"/>
                  <w:szCs w:val="17"/>
                  <w:u w:val="single"/>
                </w:rPr>
                <w:t xml:space="preserve">T-010</w:t>
              </w:r>
            </w:hyperlink>
          </w:p>
        </w:tc>
      </w:tr>
      <w:tr>
        <w:trPr>
          <w:tblHeader w:val="false"/>
        </w:trPr>
        <w:tc>
          <w:tcPr>
            <w:tcW w:type="dxa" w:w="54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</w:t>
            </w:r>
          </w:p>
        </w:tc>
        <w:tc>
          <w:tcPr>
            <w:tcW w:type="dxa" w:w="366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T-011</w:t>
            </w:r>
            <w:r>
              <w:rPr>
                <w:color w:val="13272F"/>
                <w:sz w:val="17"/>
                <w:szCs w:val="17"/>
              </w:rPr>
              <w:t xml:space="preserve"> · Seed content and openapi.yaml skeleton ⭐</w:t>
            </w:r>
          </w:p>
        </w:tc>
        <w:tc>
          <w:tcPr>
            <w:tcW w:type="dxa" w:w="54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4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  <w:tc>
          <w:tcPr>
            <w:tcW w:type="dxa" w:w="8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T-010</w:t>
            </w:r>
          </w:p>
        </w:tc>
        <w:tc>
          <w:tcPr>
            <w:tcW w:type="dxa" w:w="320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hyperlink w:history="1" r:id="rIdo1wxp3sik-yfol9mim_o1">
              <w:r>
                <w:rPr>
                  <w:color w:val="1F7A8C"/>
                  <w:sz w:val="17"/>
                  <w:szCs w:val="17"/>
                  <w:u w:val="single"/>
                </w:rPr>
                <w:t xml:space="preserve">T-011</w:t>
              </w:r>
            </w:hyperlink>
          </w:p>
        </w:tc>
      </w:tr>
      <w:tr>
        <w:trPr>
          <w:tblHeader w:val="false"/>
        </w:trPr>
        <w:tc>
          <w:tcPr>
            <w:tcW w:type="dxa" w:w="54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36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T-012</w:t>
            </w:r>
            <w:r>
              <w:rPr>
                <w:color w:val="13272F"/>
                <w:sz w:val="17"/>
                <w:szCs w:val="17"/>
              </w:rPr>
              <w:t xml:space="preserve"> · Repository layer and tenant scoping</w:t>
            </w:r>
          </w:p>
        </w:tc>
        <w:tc>
          <w:tcPr>
            <w:tcW w:type="dxa" w:w="54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4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  <w:tc>
          <w:tcPr>
            <w:tcW w:type="dxa" w:w="8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T-010</w:t>
            </w:r>
          </w:p>
        </w:tc>
        <w:tc>
          <w:tcPr>
            <w:tcW w:type="dxa" w:w="32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4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366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T-013</w:t>
            </w:r>
            <w:r>
              <w:rPr>
                <w:color w:val="13272F"/>
                <w:sz w:val="17"/>
                <w:szCs w:val="17"/>
              </w:rPr>
              <w:t xml:space="preserve"> · Event-sourced session state ⭐</w:t>
            </w:r>
          </w:p>
        </w:tc>
        <w:tc>
          <w:tcPr>
            <w:tcW w:type="dxa" w:w="54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4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  <w:tc>
          <w:tcPr>
            <w:tcW w:type="dxa" w:w="8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T-012</w:t>
            </w:r>
          </w:p>
        </w:tc>
        <w:tc>
          <w:tcPr>
            <w:tcW w:type="dxa" w:w="320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4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36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T-014</w:t>
            </w:r>
            <w:r>
              <w:rPr>
                <w:color w:val="13272F"/>
                <w:sz w:val="17"/>
                <w:szCs w:val="17"/>
              </w:rPr>
              <w:t xml:space="preserve"> · Supabase Auth integration</w:t>
            </w:r>
          </w:p>
        </w:tc>
        <w:tc>
          <w:tcPr>
            <w:tcW w:type="dxa" w:w="54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4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  <w:tc>
          <w:tcPr>
            <w:tcW w:type="dxa" w:w="8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T-012</w:t>
            </w:r>
          </w:p>
        </w:tc>
        <w:tc>
          <w:tcPr>
            <w:tcW w:type="dxa" w:w="32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4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366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T-015</w:t>
            </w:r>
            <w:r>
              <w:rPr>
                <w:color w:val="13272F"/>
                <w:sz w:val="17"/>
                <w:szCs w:val="17"/>
              </w:rPr>
              <w:t xml:space="preserve"> · Anonymous trial sessions</w:t>
            </w:r>
          </w:p>
        </w:tc>
        <w:tc>
          <w:tcPr>
            <w:tcW w:type="dxa" w:w="54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4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1.5 d</w:t>
            </w:r>
          </w:p>
        </w:tc>
        <w:tc>
          <w:tcPr>
            <w:tcW w:type="dxa" w:w="8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T-013,T-014</w:t>
            </w:r>
          </w:p>
        </w:tc>
        <w:tc>
          <w:tcPr>
            <w:tcW w:type="dxa" w:w="320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4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36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T-016</w:t>
            </w:r>
            <w:r>
              <w:rPr>
                <w:color w:val="13272F"/>
                <w:sz w:val="17"/>
                <w:szCs w:val="17"/>
              </w:rPr>
              <w:t xml:space="preserve"> · Assessment from events ⭐</w:t>
            </w:r>
          </w:p>
        </w:tc>
        <w:tc>
          <w:tcPr>
            <w:tcW w:type="dxa" w:w="54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4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  <w:tc>
          <w:tcPr>
            <w:tcW w:type="dxa" w:w="8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T-013</w:t>
            </w:r>
          </w:p>
        </w:tc>
        <w:tc>
          <w:tcPr>
            <w:tcW w:type="dxa" w:w="32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4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366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T-017</w:t>
            </w:r>
            <w:r>
              <w:rPr>
                <w:color w:val="13272F"/>
                <w:sz w:val="17"/>
                <w:szCs w:val="17"/>
              </w:rPr>
              <w:t xml:space="preserve"> · Free-tier allowance and case selection</w:t>
            </w:r>
          </w:p>
        </w:tc>
        <w:tc>
          <w:tcPr>
            <w:tcW w:type="dxa" w:w="54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4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1.5 d</w:t>
            </w:r>
          </w:p>
        </w:tc>
        <w:tc>
          <w:tcPr>
            <w:tcW w:type="dxa" w:w="8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T-014</w:t>
            </w:r>
          </w:p>
        </w:tc>
        <w:tc>
          <w:tcPr>
            <w:tcW w:type="dxa" w:w="320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4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36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T-018</w:t>
            </w:r>
            <w:r>
              <w:rPr>
                <w:color w:val="13272F"/>
                <w:sz w:val="17"/>
                <w:szCs w:val="17"/>
              </w:rPr>
              <w:t xml:space="preserve"> · Pilot data backfill</w:t>
            </w:r>
          </w:p>
        </w:tc>
        <w:tc>
          <w:tcPr>
            <w:tcW w:type="dxa" w:w="54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4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 d</w:t>
            </w:r>
          </w:p>
        </w:tc>
        <w:tc>
          <w:tcPr>
            <w:tcW w:type="dxa" w:w="8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T-016</w:t>
            </w:r>
          </w:p>
        </w:tc>
        <w:tc>
          <w:tcPr>
            <w:tcW w:type="dxa" w:w="32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60"/>
      </w:pP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Phase 2 — Admin console P0</w:t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0 of 4 complete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558"/>
        <w:gridCol w:w="5184"/>
        <w:gridCol w:w="706"/>
        <w:gridCol w:w="558"/>
        <w:gridCol w:w="1295"/>
        <w:gridCol w:w="1059"/>
      </w:tblGrid>
      <w:tr>
        <w:trPr>
          <w:tblHeader/>
        </w:trPr>
        <w:tc>
          <w:tcPr>
            <w:tcW w:type="dxa" w:w="55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518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70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55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Est</w:t>
            </w:r>
          </w:p>
        </w:tc>
        <w:tc>
          <w:tcPr>
            <w:tcW w:type="dxa" w:w="129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Depends</w:t>
            </w:r>
          </w:p>
        </w:tc>
        <w:tc>
          <w:tcPr>
            <w:tcW w:type="dxa" w:w="105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Build log</w:t>
            </w:r>
          </w:p>
        </w:tc>
      </w:tr>
      <w:tr>
        <w:trPr>
          <w:tblHeader w:val="false"/>
        </w:trPr>
        <w:tc>
          <w:tcPr>
            <w:tcW w:type="dxa" w:w="55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518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T-020</w:t>
            </w:r>
            <w:r>
              <w:rPr>
                <w:color w:val="13272F"/>
                <w:sz w:val="17"/>
                <w:szCs w:val="17"/>
              </w:rPr>
              <w:t xml:space="preserve"> · Admin shell and auth</w:t>
            </w:r>
          </w:p>
        </w:tc>
        <w:tc>
          <w:tcPr>
            <w:tcW w:type="dxa" w:w="7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Yogesh</w:t>
            </w:r>
          </w:p>
        </w:tc>
        <w:tc>
          <w:tcPr>
            <w:tcW w:type="dxa" w:w="55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 d</w:t>
            </w:r>
          </w:p>
        </w:tc>
        <w:tc>
          <w:tcPr>
            <w:tcW w:type="dxa" w:w="129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T-014</w:t>
            </w:r>
          </w:p>
        </w:tc>
        <w:tc>
          <w:tcPr>
            <w:tcW w:type="dxa" w:w="105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5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518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T-021</w:t>
            </w:r>
            <w:r>
              <w:rPr>
                <w:color w:val="13272F"/>
                <w:sz w:val="17"/>
                <w:szCs w:val="17"/>
              </w:rPr>
              <w:t xml:space="preserve"> · Case editor ⭐</w:t>
            </w:r>
          </w:p>
        </w:tc>
        <w:tc>
          <w:tcPr>
            <w:tcW w:type="dxa" w:w="7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Yogesh</w:t>
            </w:r>
          </w:p>
        </w:tc>
        <w:tc>
          <w:tcPr>
            <w:tcW w:type="dxa" w:w="55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5 d</w:t>
            </w:r>
          </w:p>
        </w:tc>
        <w:tc>
          <w:tcPr>
            <w:tcW w:type="dxa" w:w="129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T-020,T-011</w:t>
            </w:r>
          </w:p>
        </w:tc>
        <w:tc>
          <w:tcPr>
            <w:tcW w:type="dxa" w:w="105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5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518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T-022</w:t>
            </w:r>
            <w:r>
              <w:rPr>
                <w:color w:val="13272F"/>
                <w:sz w:val="17"/>
                <w:szCs w:val="17"/>
              </w:rPr>
              <w:t xml:space="preserve"> · Playtest with live instrumentation ⭐</w:t>
            </w:r>
          </w:p>
        </w:tc>
        <w:tc>
          <w:tcPr>
            <w:tcW w:type="dxa" w:w="7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Yogesh</w:t>
            </w:r>
          </w:p>
        </w:tc>
        <w:tc>
          <w:tcPr>
            <w:tcW w:type="dxa" w:w="55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 d</w:t>
            </w:r>
          </w:p>
        </w:tc>
        <w:tc>
          <w:tcPr>
            <w:tcW w:type="dxa" w:w="129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T-021,T-016</w:t>
            </w:r>
          </w:p>
        </w:tc>
        <w:tc>
          <w:tcPr>
            <w:tcW w:type="dxa" w:w="105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5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518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T-023</w:t>
            </w:r>
            <w:r>
              <w:rPr>
                <w:color w:val="13272F"/>
                <w:sz w:val="17"/>
                <w:szCs w:val="17"/>
              </w:rPr>
              <w:t xml:space="preserve"> · Clinical review workflow ⭐</w:t>
            </w:r>
          </w:p>
        </w:tc>
        <w:tc>
          <w:tcPr>
            <w:tcW w:type="dxa" w:w="7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Yogesh</w:t>
            </w:r>
          </w:p>
        </w:tc>
        <w:tc>
          <w:tcPr>
            <w:tcW w:type="dxa" w:w="55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  <w:tc>
          <w:tcPr>
            <w:tcW w:type="dxa" w:w="129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T-022</w:t>
            </w:r>
          </w:p>
        </w:tc>
        <w:tc>
          <w:tcPr>
            <w:tcW w:type="dxa" w:w="105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60"/>
      </w:pP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Phase 3 — API and web app</w:t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0 of 8 complete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563"/>
        <w:gridCol w:w="4608"/>
        <w:gridCol w:w="837"/>
        <w:gridCol w:w="563"/>
        <w:gridCol w:w="1534"/>
        <w:gridCol w:w="1255"/>
      </w:tblGrid>
      <w:tr>
        <w:trPr>
          <w:tblHeader/>
        </w:trPr>
        <w:tc>
          <w:tcPr>
            <w:tcW w:type="dxa" w:w="56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460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83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56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Est</w:t>
            </w:r>
          </w:p>
        </w:tc>
        <w:tc>
          <w:tcPr>
            <w:tcW w:type="dxa" w:w="153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Depends</w:t>
            </w:r>
          </w:p>
        </w:tc>
        <w:tc>
          <w:tcPr>
            <w:tcW w:type="dxa" w:w="125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Build log</w:t>
            </w:r>
          </w:p>
        </w:tc>
      </w:tr>
      <w:tr>
        <w:trPr>
          <w:tblHeader w:val="false"/>
        </w:trPr>
        <w:tc>
          <w:tcPr>
            <w:tcW w:type="dxa" w:w="56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6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T-030</w:t>
            </w:r>
            <w:r>
              <w:rPr>
                <w:color w:val="13272F"/>
                <w:sz w:val="17"/>
                <w:szCs w:val="17"/>
              </w:rPr>
              <w:t xml:space="preserve"> · JSON API ⭐</w:t>
            </w:r>
          </w:p>
        </w:tc>
        <w:tc>
          <w:tcPr>
            <w:tcW w:type="dxa" w:w="83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6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6 d</w:t>
            </w:r>
          </w:p>
        </w:tc>
        <w:tc>
          <w:tcPr>
            <w:tcW w:type="dxa" w:w="15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T-016,T-017</w:t>
            </w:r>
          </w:p>
        </w:tc>
        <w:tc>
          <w:tcPr>
            <w:tcW w:type="dxa" w:w="125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60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T-031</w:t>
            </w:r>
            <w:r>
              <w:rPr>
                <w:color w:val="13272F"/>
                <w:sz w:val="17"/>
                <w:szCs w:val="17"/>
              </w:rPr>
              <w:t xml:space="preserve"> · LLM gateway hardening</w:t>
            </w:r>
          </w:p>
        </w:tc>
        <w:tc>
          <w:tcPr>
            <w:tcW w:type="dxa" w:w="83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6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  <w:tc>
          <w:tcPr>
            <w:tcW w:type="dxa" w:w="15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T-006</w:t>
            </w:r>
          </w:p>
        </w:tc>
        <w:tc>
          <w:tcPr>
            <w:tcW w:type="dxa" w:w="125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6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T-032</w:t>
            </w:r>
            <w:r>
              <w:rPr>
                <w:color w:val="13272F"/>
                <w:sz w:val="17"/>
                <w:szCs w:val="17"/>
              </w:rPr>
              <w:t xml:space="preserve"> · Next.js scaffold and auth</w:t>
            </w:r>
          </w:p>
        </w:tc>
        <w:tc>
          <w:tcPr>
            <w:tcW w:type="dxa" w:w="83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Yogesh</w:t>
            </w:r>
          </w:p>
        </w:tc>
        <w:tc>
          <w:tcPr>
            <w:tcW w:type="dxa" w:w="56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 d</w:t>
            </w:r>
          </w:p>
        </w:tc>
        <w:tc>
          <w:tcPr>
            <w:tcW w:type="dxa" w:w="15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T-011</w:t>
            </w:r>
          </w:p>
        </w:tc>
        <w:tc>
          <w:tcPr>
            <w:tcW w:type="dxa" w:w="125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60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T-033</w:t>
            </w:r>
            <w:r>
              <w:rPr>
                <w:color w:val="13272F"/>
                <w:sz w:val="17"/>
                <w:szCs w:val="17"/>
              </w:rPr>
              <w:t xml:space="preserve"> · Dashboard and onboarding</w:t>
            </w:r>
          </w:p>
        </w:tc>
        <w:tc>
          <w:tcPr>
            <w:tcW w:type="dxa" w:w="83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Yogesh</w:t>
            </w:r>
          </w:p>
        </w:tc>
        <w:tc>
          <w:tcPr>
            <w:tcW w:type="dxa" w:w="56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  <w:tc>
          <w:tcPr>
            <w:tcW w:type="dxa" w:w="15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T-032</w:t>
            </w:r>
          </w:p>
        </w:tc>
        <w:tc>
          <w:tcPr>
            <w:tcW w:type="dxa" w:w="125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6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T-034</w:t>
            </w:r>
            <w:r>
              <w:rPr>
                <w:color w:val="13272F"/>
                <w:sz w:val="17"/>
                <w:szCs w:val="17"/>
              </w:rPr>
              <w:t xml:space="preserve"> · Consultation screen ⭐</w:t>
            </w:r>
          </w:p>
        </w:tc>
        <w:tc>
          <w:tcPr>
            <w:tcW w:type="dxa" w:w="83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Yogesh</w:t>
            </w:r>
          </w:p>
        </w:tc>
        <w:tc>
          <w:tcPr>
            <w:tcW w:type="dxa" w:w="56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6 d</w:t>
            </w:r>
          </w:p>
        </w:tc>
        <w:tc>
          <w:tcPr>
            <w:tcW w:type="dxa" w:w="15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T-030,T-032</w:t>
            </w:r>
          </w:p>
        </w:tc>
        <w:tc>
          <w:tcPr>
            <w:tcW w:type="dxa" w:w="125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60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T-035</w:t>
            </w:r>
            <w:r>
              <w:rPr>
                <w:color w:val="13272F"/>
                <w:sz w:val="17"/>
                <w:szCs w:val="17"/>
              </w:rPr>
              <w:t xml:space="preserve"> · Real-patient-data guard</w:t>
            </w:r>
          </w:p>
        </w:tc>
        <w:tc>
          <w:tcPr>
            <w:tcW w:type="dxa" w:w="83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6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 d</w:t>
            </w:r>
          </w:p>
        </w:tc>
        <w:tc>
          <w:tcPr>
            <w:tcW w:type="dxa" w:w="15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T-034</w:t>
            </w:r>
          </w:p>
        </w:tc>
        <w:tc>
          <w:tcPr>
            <w:tcW w:type="dxa" w:w="125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6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T-036</w:t>
            </w:r>
            <w:r>
              <w:rPr>
                <w:color w:val="13272F"/>
                <w:sz w:val="17"/>
                <w:szCs w:val="17"/>
              </w:rPr>
              <w:t xml:space="preserve"> · Feedback screen ⭐</w:t>
            </w:r>
          </w:p>
        </w:tc>
        <w:tc>
          <w:tcPr>
            <w:tcW w:type="dxa" w:w="83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Yogesh</w:t>
            </w:r>
          </w:p>
        </w:tc>
        <w:tc>
          <w:tcPr>
            <w:tcW w:type="dxa" w:w="56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  <w:tc>
          <w:tcPr>
            <w:tcW w:type="dxa" w:w="15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T-030,T-032</w:t>
            </w:r>
          </w:p>
        </w:tc>
        <w:tc>
          <w:tcPr>
            <w:tcW w:type="dxa" w:w="125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60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T-037</w:t>
            </w:r>
            <w:r>
              <w:rPr>
                <w:color w:val="13272F"/>
                <w:sz w:val="17"/>
                <w:szCs w:val="17"/>
              </w:rPr>
              <w:t xml:space="preserve"> · History and progress</w:t>
            </w:r>
          </w:p>
        </w:tc>
        <w:tc>
          <w:tcPr>
            <w:tcW w:type="dxa" w:w="83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Yogesh</w:t>
            </w:r>
          </w:p>
        </w:tc>
        <w:tc>
          <w:tcPr>
            <w:tcW w:type="dxa" w:w="56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  <w:tc>
          <w:tcPr>
            <w:tcW w:type="dxa" w:w="15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T-036</w:t>
            </w:r>
          </w:p>
        </w:tc>
        <w:tc>
          <w:tcPr>
            <w:tcW w:type="dxa" w:w="125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60"/>
      </w:pP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Phase 4 — Commercial readiness</w:t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0 of 6 complete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560"/>
        <w:gridCol w:w="4946"/>
        <w:gridCol w:w="760"/>
        <w:gridCol w:w="560"/>
        <w:gridCol w:w="1394"/>
        <w:gridCol w:w="1140"/>
      </w:tblGrid>
      <w:tr>
        <w:trPr>
          <w:tblHeader/>
        </w:trPr>
        <w:tc>
          <w:tcPr>
            <w:tcW w:type="dxa" w:w="56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494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76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56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Est</w:t>
            </w:r>
          </w:p>
        </w:tc>
        <w:tc>
          <w:tcPr>
            <w:tcW w:type="dxa" w:w="139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Depends</w:t>
            </w:r>
          </w:p>
        </w:tc>
        <w:tc>
          <w:tcPr>
            <w:tcW w:type="dxa" w:w="114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Build log</w:t>
            </w:r>
          </w:p>
        </w:tc>
      </w:tr>
      <w:tr>
        <w:trPr>
          <w:tblHeader w:val="false"/>
        </w:trPr>
        <w:tc>
          <w:tcPr>
            <w:tcW w:type="dxa" w:w="5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94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T-040</w:t>
            </w:r>
            <w:r>
              <w:rPr>
                <w:color w:val="13272F"/>
                <w:sz w:val="17"/>
                <w:szCs w:val="17"/>
              </w:rPr>
              <w:t xml:space="preserve"> · Leakage monitor ⭐</w:t>
            </w:r>
          </w:p>
        </w:tc>
        <w:tc>
          <w:tcPr>
            <w:tcW w:type="dxa" w:w="7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  <w:tc>
          <w:tcPr>
            <w:tcW w:type="dxa" w:w="139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T-030</w:t>
            </w:r>
          </w:p>
        </w:tc>
        <w:tc>
          <w:tcPr>
            <w:tcW w:type="dxa" w:w="11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94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T-041</w:t>
            </w:r>
            <w:r>
              <w:rPr>
                <w:color w:val="13272F"/>
                <w:sz w:val="17"/>
                <w:szCs w:val="17"/>
              </w:rPr>
              <w:t xml:space="preserve"> · Stripe subscriptions</w:t>
            </w:r>
          </w:p>
        </w:tc>
        <w:tc>
          <w:tcPr>
            <w:tcW w:type="dxa" w:w="76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6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 d</w:t>
            </w:r>
          </w:p>
        </w:tc>
        <w:tc>
          <w:tcPr>
            <w:tcW w:type="dxa" w:w="139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T-030</w:t>
            </w:r>
          </w:p>
        </w:tc>
        <w:tc>
          <w:tcPr>
            <w:tcW w:type="dxa" w:w="11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94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T-042</w:t>
            </w:r>
            <w:r>
              <w:rPr>
                <w:color w:val="13272F"/>
                <w:sz w:val="17"/>
                <w:szCs w:val="17"/>
              </w:rPr>
              <w:t xml:space="preserve"> · Pricing and account screens</w:t>
            </w:r>
          </w:p>
        </w:tc>
        <w:tc>
          <w:tcPr>
            <w:tcW w:type="dxa" w:w="7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Yogesh</w:t>
            </w:r>
          </w:p>
        </w:tc>
        <w:tc>
          <w:tcPr>
            <w:tcW w:type="dxa" w:w="5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  <w:tc>
          <w:tcPr>
            <w:tcW w:type="dxa" w:w="139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T-041,T-032</w:t>
            </w:r>
          </w:p>
        </w:tc>
        <w:tc>
          <w:tcPr>
            <w:tcW w:type="dxa" w:w="11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94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T-043</w:t>
            </w:r>
            <w:r>
              <w:rPr>
                <w:color w:val="13272F"/>
                <w:sz w:val="17"/>
                <w:szCs w:val="17"/>
              </w:rPr>
              <w:t xml:space="preserve"> · AI usage and cost dashboard</w:t>
            </w:r>
          </w:p>
        </w:tc>
        <w:tc>
          <w:tcPr>
            <w:tcW w:type="dxa" w:w="76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Yogesh</w:t>
            </w:r>
          </w:p>
        </w:tc>
        <w:tc>
          <w:tcPr>
            <w:tcW w:type="dxa" w:w="56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  <w:tc>
          <w:tcPr>
            <w:tcW w:type="dxa" w:w="139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T-031,T-020</w:t>
            </w:r>
          </w:p>
        </w:tc>
        <w:tc>
          <w:tcPr>
            <w:tcW w:type="dxa" w:w="11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94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T-044</w:t>
            </w:r>
            <w:r>
              <w:rPr>
                <w:color w:val="13272F"/>
                <w:sz w:val="17"/>
                <w:szCs w:val="17"/>
              </w:rPr>
              <w:t xml:space="preserve"> · Master list and lexicon editors</w:t>
            </w:r>
          </w:p>
        </w:tc>
        <w:tc>
          <w:tcPr>
            <w:tcW w:type="dxa" w:w="7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Yogesh</w:t>
            </w:r>
          </w:p>
        </w:tc>
        <w:tc>
          <w:tcPr>
            <w:tcW w:type="dxa" w:w="5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  <w:tc>
          <w:tcPr>
            <w:tcW w:type="dxa" w:w="139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T-020</w:t>
            </w:r>
          </w:p>
        </w:tc>
        <w:tc>
          <w:tcPr>
            <w:tcW w:type="dxa" w:w="11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94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T-045</w:t>
            </w:r>
            <w:r>
              <w:rPr>
                <w:color w:val="13272F"/>
                <w:sz w:val="17"/>
                <w:szCs w:val="17"/>
              </w:rPr>
              <w:t xml:space="preserve"> · Launch readiness</w:t>
            </w:r>
          </w:p>
        </w:tc>
        <w:tc>
          <w:tcPr>
            <w:tcW w:type="dxa" w:w="76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Both</w:t>
            </w:r>
          </w:p>
        </w:tc>
        <w:tc>
          <w:tcPr>
            <w:tcW w:type="dxa" w:w="56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  <w:tc>
          <w:tcPr>
            <w:tcW w:type="dxa" w:w="139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all above</w:t>
            </w:r>
          </w:p>
        </w:tc>
        <w:tc>
          <w:tcPr>
            <w:tcW w:type="dxa" w:w="11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⭐ marks a task the plan flags as load-bearing — it protects a property in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CLAUDE.md</w:t>
      </w:r>
      <w:r>
        <w:rPr>
          <w:color w:val="13272F"/>
          <w:sz w:val="20"/>
          <w:szCs w:val="20"/>
        </w:rPr>
        <w:t xml:space="preserve">, unblocks another track, or closes a known risk.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 task shows ✅ only when its BUILD_PLAN entry carries a DONE marker. Every completed task has a build log recording what was actually built, where it diverged from the specification, and what debt it left.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Phases 5–7 are not listed.</w:t>
      </w:r>
      <w:r>
        <w:rPr>
          <w:color w:val="13272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BUILD_PLAN</w:t>
      </w:r>
      <w:r>
        <w:rPr>
          <w:color w:val="13272F"/>
          <w:sz w:val="20"/>
          <w:szCs w:val="20"/>
        </w:rPr>
        <w:t xml:space="preserve"> §9 summarises them as prose rather than itemised tasks — measurement upgrade (11 d), mobile (20 d) and Case Factory (22 d) — and they are expanded when the phase begins. The counts above therefore cover the work through launch, which is what there is to track today.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The thing this table cannot show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Every number above is engineering effort. </w:t>
      </w:r>
      <w:r>
        <w:rPr>
          <w:b/>
          <w:bCs/>
          <w:color w:val="13272F"/>
          <w:sz w:val="20"/>
          <w:szCs w:val="20"/>
        </w:rPr>
        <w:t xml:space="preserve">Ten clinically reviewed cases gate launch and five exist.</w:t>
      </w:r>
      <w:r>
        <w:rPr>
          <w:color w:val="13272F"/>
          <w:sz w:val="20"/>
          <w:szCs w:val="20"/>
        </w:rPr>
        <w:t xml:space="preserve"> No task in this plan produces one: writing a case is clinical authoring, not development, and it needs no developer time.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two clinician reviewers cannot start until </w:t>
      </w:r>
      <w:r>
        <w:rPr>
          <w:b/>
          <w:bCs/>
          <w:color w:val="13272F"/>
          <w:sz w:val="20"/>
          <w:szCs w:val="20"/>
        </w:rPr>
        <w:t xml:space="preserve">T-021</w:t>
      </w:r>
      <w:r>
        <w:rPr>
          <w:color w:val="13272F"/>
          <w:sz w:val="20"/>
          <w:szCs w:val="20"/>
        </w:rPr>
        <w:t xml:space="preserve"> (case editor) and </w:t>
      </w:r>
      <w:r>
        <w:rPr>
          <w:b/>
          <w:bCs/>
          <w:color w:val="13272F"/>
          <w:sz w:val="20"/>
          <w:szCs w:val="20"/>
        </w:rPr>
        <w:t xml:space="preserve">T-023</w:t>
      </w:r>
      <w:r>
        <w:rPr>
          <w:color w:val="13272F"/>
          <w:sz w:val="20"/>
          <w:szCs w:val="20"/>
        </w:rPr>
        <w:t xml:space="preserve"> (review workflow) exist, because until then only a programmer can read a case. That is 12 days of Phase 2 work away, and authoring the drafts can begin before it.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BUILD_PLAN</w:t>
      </w:r>
      <w:r>
        <w:rPr>
          <w:color w:val="13272F"/>
          <w:sz w:val="20"/>
          <w:szCs w:val="20"/>
        </w:rPr>
        <w:t xml:space="preserve"> §11.1 rates this </w:t>
      </w:r>
      <w:r>
        <w:rPr>
          <w:b/>
          <w:bCs/>
          <w:color w:val="13272F"/>
          <w:sz w:val="20"/>
          <w:szCs w:val="20"/>
        </w:rPr>
        <w:t xml:space="preserve">the</w:t>
      </w:r>
      <w:r>
        <w:rPr>
          <w:color w:val="13272F"/>
          <w:sz w:val="20"/>
          <w:szCs w:val="20"/>
        </w:rPr>
        <w:t xml:space="preserve"> risk to the schedule, and it is the one a task tracker makes easy to forget — because it has no task.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3272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cutyukgczgb2_mzvgnuc" Type="http://schemas.openxmlformats.org/officeDocument/2006/relationships/hyperlink" Target="T-001-package-restructure.md" TargetMode="External"/><Relationship Id="rIdkobmp7iqn7bcmkxk0r3eu" Type="http://schemas.openxmlformats.org/officeDocument/2006/relationships/hyperlink" Target="T-002-test-harness.md" TargetMode="External"/><Relationship Id="rIdm4xokrcrfcvljyvq5v2pp" Type="http://schemas.openxmlformats.org/officeDocument/2006/relationships/hyperlink" Target="T-003-case-invariants.md" TargetMode="External"/><Relationship Id="rIdw2izu3amk1ygyltogkfah" Type="http://schemas.openxmlformats.org/officeDocument/2006/relationships/hyperlink" Target="T-004-ci-validation-gate.md" TargetMode="External"/><Relationship Id="rId_gwd43szzwgqbiwpys5cu" Type="http://schemas.openxmlformats.org/officeDocument/2006/relationships/hyperlink" Target="T-005-docker-compose.md" TargetMode="External"/><Relationship Id="rIdv4s1rnx0l5ss-wwri0w49" Type="http://schemas.openxmlformats.org/officeDocument/2006/relationships/hyperlink" Target="T-006-typed-configuration.md" TargetMode="External"/><Relationship Id="rIdhpjnw9ywlxxotsycbfxpu" Type="http://schemas.openxmlformats.org/officeDocument/2006/relationships/hyperlink" Target="T-007-telemetry.md" TargetMode="External"/><Relationship Id="rIdxrlccjgko3venf6ye-hoe" Type="http://schemas.openxmlformats.org/officeDocument/2006/relationships/hyperlink" Target="T-010-schema-and-migrations.md" TargetMode="External"/><Relationship Id="rIdo1wxp3sik-yfol9mim_o1" Type="http://schemas.openxmlformats.org/officeDocument/2006/relationships/hyperlink" Target="T-011-seed-content-and-openapi.md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Nidan — System Design &amp; Engineering Specification</dc:title>
  <dc:creator>Vraj Patel, Yogesh Bagotia</dc:creator>
  <cp:lastModifiedBy>Un-named</cp:lastModifiedBy>
  <cp:revision>1</cp:revision>
  <dcterms:created xsi:type="dcterms:W3CDTF">2026-09-12T13:03:03.662Z</dcterms:created>
  <dcterms:modified xsi:type="dcterms:W3CDTF">2026-09-12T13:03:03.663Z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