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ARCHITECTURE DECISION RECORDS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ADR Log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15 records — Accepted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 — 6 documents + ADR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decision per record. </w:t>
      </w:r>
      <w:r>
        <w:rPr>
          <w:b/>
          <w:bCs/>
          <w:color w:val="13272F"/>
          <w:sz w:val="20"/>
          <w:szCs w:val="20"/>
        </w:rPr>
        <w:t xml:space="preserve">Accepted ADRs are never edited</w:t>
      </w:r>
      <w:r>
        <w:rPr>
          <w:color w:val="13272F"/>
          <w:sz w:val="20"/>
          <w:szCs w:val="20"/>
        </w:rPr>
        <w:t xml:space="preserve"> — they are superseded by a new record.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ADR-0001 · PostgreSQL with pgvector, hosted on Supabase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 need persistent storage for users, cases, sessions, an append-only event log, and vector embeddings for semantic topic matching. The team is two developers with no dedicated ops capacity. Data is strongly relational: a session belongs to a user, a case </w:t>
      </w:r>
      <w:r>
        <w:rPr>
          <w:i/>
          <w:iCs/>
          <w:color w:val="13272F"/>
          <w:sz w:val="20"/>
          <w:szCs w:val="20"/>
        </w:rPr>
        <w:t xml:space="preserve">version</w:t>
      </w:r>
      <w:r>
        <w:rPr>
          <w:color w:val="13272F"/>
          <w:sz w:val="20"/>
          <w:szCs w:val="20"/>
        </w:rPr>
        <w:t xml:space="preserve">, and an experiment arm.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 a single PostgreSQL 16 database with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</w:t>
      </w:r>
      <w:r>
        <w:rPr>
          <w:color w:val="13272F"/>
          <w:sz w:val="20"/>
          <w:szCs w:val="20"/>
        </w:rPr>
        <w:t xml:space="preserve"> extension, hosted on Supabase. One database, one provider.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06"/>
        <w:gridCol w:w="7154"/>
      </w:tblGrid>
      <w:tr>
        <w:trPr>
          <w:tblHeader/>
        </w:trPr>
        <w:tc>
          <w:tcPr>
            <w:tcW w:type="dxa" w:w="22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15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Neon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Postgres-only. Excellent branching, but no auth or storage, and we need both.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MongoDB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 is relational; document modelling would force duplication or client-side joins.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SQLite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Single-writer lock fails under multiple workers.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Firebase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NoSQL; unsuited to paired statistical analysis.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 + separate vector DB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Two datastores and two failure modes for ~10³–10⁴ vectors.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+ Neon together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Actively broken</w:t>
            </w:r>
            <w:r>
              <w:rPr>
                <w:color w:val="13272F"/>
                <w:sz w:val="17"/>
                <w:szCs w:val="17"/>
              </w:rPr>
              <w:t xml:space="preserve"> — users and sessions in separate databases means no foreign keys and no joins.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JSONB</w:t>
      </w:r>
      <w:r>
        <w:rPr>
          <w:color w:val="13272F"/>
          <w:sz w:val="20"/>
          <w:szCs w:val="20"/>
        </w:rPr>
        <w:t xml:space="preserve"> covers evolving detector output without migrations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</w:t>
      </w:r>
      <w:r>
        <w:rPr>
          <w:color w:val="13272F"/>
          <w:sz w:val="20"/>
          <w:szCs w:val="20"/>
        </w:rPr>
        <w:t xml:space="preserve"> handles embeddings in the same engine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Window functions support paired statistical analysis directly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Free tier covers pilot scale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Inherits Supabase availability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Forgoes Neon's per-PR database branching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Revisit vector storage past ~10⁶ vectors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ADR-0002 · Supabase Auth rather than custom authentication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product needs accounts, OAuth, and password reset. App Store policy requires Sign in with Apple if any other social login is offered. The team has no security reviewer, and a mistake here compromises medical professionals' accounts.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Delegate authentication to Supabase Auth. Verify JWTs in the backend; never handle passwords.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14"/>
        <w:gridCol w:w="7946"/>
      </w:tblGrid>
      <w:tr>
        <w:trPr>
          <w:tblHeader/>
        </w:trPr>
        <w:tc>
          <w:tcPr>
            <w:tcW w:type="dxa" w:w="14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9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4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our own</w:t>
            </w:r>
          </w:p>
        </w:tc>
        <w:tc>
          <w:tcPr>
            <w:tcW w:type="dxa" w:w="7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~15 developer-days, permanent security liability, App Store risk, zero differentiating value.</w:t>
            </w:r>
          </w:p>
        </w:tc>
      </w:tr>
      <w:tr>
        <w:trPr>
          <w:tblHeader w:val="false"/>
        </w:trPr>
        <w:tc>
          <w:tcPr>
            <w:tcW w:type="dxa" w:w="14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Clerk</w:t>
            </w:r>
          </w:p>
        </w:tc>
        <w:tc>
          <w:tcPr>
            <w:tcW w:type="dxa" w:w="7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Good, but a second vendor alongside Supabase-the-database.</w:t>
            </w:r>
          </w:p>
        </w:tc>
      </w:tr>
      <w:tr>
        <w:trPr>
          <w:tblHeader w:val="false"/>
        </w:trPr>
        <w:tc>
          <w:tcPr>
            <w:tcW w:type="dxa" w:w="14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Auth0</w:t>
            </w:r>
          </w:p>
        </w:tc>
        <w:tc>
          <w:tcPr>
            <w:tcW w:type="dxa" w:w="79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Enterprise pricing, overkill.</w:t>
            </w:r>
          </w:p>
        </w:tc>
      </w:tr>
      <w:tr>
        <w:trPr>
          <w:tblHeader w:val="false"/>
        </w:trPr>
        <w:tc>
          <w:tcPr>
            <w:tcW w:type="dxa" w:w="14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Firebase Auth</w:t>
            </w:r>
          </w:p>
        </w:tc>
        <w:tc>
          <w:tcPr>
            <w:tcW w:type="dxa" w:w="79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Users in Google's system, data in Postgres — the split-brain problem of ADR-0001.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~1 day to integrate versus ~15 to 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Users live in our own Postgres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auth.users</w:t>
      </w:r>
      <w:r>
        <w:rPr>
          <w:color w:val="13272F"/>
          <w:sz w:val="20"/>
          <w:szCs w:val="20"/>
        </w:rPr>
        <w:t xml:space="preserve">) — no data lock-in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Google and Apple OAuth handled, including Apple private-relay emails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Free to 50 000 monthly active users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Auth availability is now a dependency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Some customisation of email templates is constrained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ADR-0003 · Event-sourced session state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 state currently lives in a process-local dictionary, so a restart loses in-flight consultations and the app cannot run more than one worker. Separately, the pilot's data-integrity check worked by recomputing bias flags from stored questions — which is event sourcing in all but name.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Persist every consultation action as an append-only row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. Derive session state and all assessment results by replaying that log.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70"/>
        <w:gridCol w:w="7290"/>
      </w:tblGrid>
      <w:tr>
        <w:trPr>
          <w:tblHeader/>
        </w:trPr>
        <w:tc>
          <w:tcPr>
            <w:tcW w:type="dxa" w:w="20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2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Redis for session state</w:t>
            </w:r>
          </w:p>
        </w:tc>
        <w:tc>
          <w:tcPr>
            <w:tcW w:type="dxa" w:w="7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Adds a second stateful service to solve a problem Postgres already solves at this scale.</w:t>
            </w:r>
          </w:p>
        </w:tc>
      </w:tr>
      <w:tr>
        <w:trPr>
          <w:tblHeader w:val="false"/>
        </w:trPr>
        <w:tc>
          <w:tcPr>
            <w:tcW w:type="dxa" w:w="2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Signed client-side cookie</w:t>
            </w:r>
          </w:p>
        </w:tc>
        <w:tc>
          <w:tcPr>
            <w:tcW w:type="dxa" w:w="7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KB limit; transcripts exceed it; and it would let a user tamper with assessment input.</w:t>
            </w:r>
          </w:p>
        </w:tc>
      </w:tr>
      <w:tr>
        <w:trPr>
          <w:tblHeader w:val="false"/>
        </w:trPr>
        <w:tc>
          <w:tcPr>
            <w:tcW w:type="dxa" w:w="2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Sticky sessions</w:t>
            </w:r>
          </w:p>
        </w:tc>
        <w:tc>
          <w:tcPr>
            <w:tcW w:type="dxa" w:w="7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Preserves the data-loss bug rather than fixing it.</w:t>
            </w:r>
          </w:p>
        </w:tc>
      </w:tr>
      <w:tr>
        <w:trPr>
          <w:tblHeader w:val="false"/>
        </w:trPr>
        <w:tc>
          <w:tcPr>
            <w:tcW w:type="dxa" w:w="2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Mutable session row</w:t>
            </w:r>
          </w:p>
        </w:tc>
        <w:tc>
          <w:tcPr>
            <w:tcW w:type="dxa" w:w="7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Loses the ability to replay and recompute.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Consultations survive restarts and support multiple workers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Threshold changes can be evaluated by replaying history (enables calibration)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Per-event timestamps give think-time data we currently discard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Any published result traces to an immutable sequence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One extra table and a reconstruction function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Reconstruction cost per request (negligible at ~20 events)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ADR-0004 · Rule-based bias detection, not machine learning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three detectors must produce feedback a learner can act on. We have 16 real sessions — nowhere near enough to train a classifier. The detectors were validated at 94 % accuracy with 100 % sensitivity.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Detection stays rule-based and deterministic. Every flag returns a human-readable reason and the evidence that triggered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891"/>
        <w:gridCol w:w="6469"/>
      </w:tblGrid>
      <w:tr>
        <w:trPr>
          <w:tblHeader/>
        </w:trPr>
        <w:tc>
          <w:tcPr>
            <w:tcW w:type="dxa" w:w="28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4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8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Train a classifier on session features</w:t>
            </w:r>
          </w:p>
        </w:tc>
        <w:tc>
          <w:tcPr>
            <w:tcW w:type="dxa" w:w="64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labelled corpus; 16 sessions is noise; destroys traceability.</w:t>
            </w:r>
          </w:p>
        </w:tc>
      </w:tr>
      <w:tr>
        <w:trPr>
          <w:tblHeader w:val="false"/>
        </w:trPr>
        <w:tc>
          <w:tcPr>
            <w:tcW w:type="dxa" w:w="28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LLM-as-judge for bias detection</w:t>
            </w:r>
          </w:p>
        </w:tc>
        <w:tc>
          <w:tcPr>
            <w:tcW w:type="dxa" w:w="64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Non-deterministic, unauditable, and would put the LLM in the marking path (ADR-0005).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Every flag is explainable and contestable — the property that makes feedback teachable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Deterministic, so results are reproducible and verifiable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Fast (microseconds) and free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Bounded by lexical coverage; paraphrased questions are missed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Thresholds are heuristic, not calibrated (see ADR-0013)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Revisit only with 10³+ labelled sessions, and then as a comparator, not a replacement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ADR-0005 · The LLM is excluded from the marking path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uses an LLM for the patient persona and for feedback prose. Assessment results must be reproducible for research credibility and for the data-integrity check.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LLM generates text only. Every flag, score, coverage figure and verdict is computed by deterministic Python. No assessment decision is delegated to a model.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18"/>
        <w:gridCol w:w="7142"/>
      </w:tblGrid>
      <w:tr>
        <w:trPr>
          <w:tblHeader/>
        </w:trPr>
        <w:tc>
          <w:tcPr>
            <w:tcW w:type="dxa" w:w="22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1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2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scores the consultation</w:t>
            </w:r>
          </w:p>
        </w:tc>
        <w:tc>
          <w:tcPr>
            <w:tcW w:type="dxa" w:w="71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Non-reproducible at temperature &gt; 0; unauditable; would have made the pilot integrity check impossible.</w:t>
            </w:r>
          </w:p>
        </w:tc>
      </w:tr>
      <w:tr>
        <w:trPr>
          <w:tblHeader w:val="false"/>
        </w:trPr>
        <w:tc>
          <w:tcPr>
            <w:tcW w:type="dxa" w:w="22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Hybrid — LLM adjusts rule output</w:t>
            </w:r>
          </w:p>
        </w:tc>
        <w:tc>
          <w:tcPr>
            <w:tcW w:type="dxa" w:w="71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Inherits the worst of both: non-determinism without interpretability.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Recomputation from stored questions verifies data authenticity (used in the pilot)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Threshold replay is possible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Assessment latency is sub-millisecond and free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Removes an entire class of prompt-injection attack on grading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Assessment quality is bounded by rule quality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ADR-0006 · Next.js for the consumer app, Jinja + HTMX for admin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01"/>
        <w:gridCol w:w="7659"/>
      </w:tblGrid>
      <w:tr>
        <w:trPr>
          <w:tblHeader/>
        </w:trPr>
        <w:tc>
          <w:tcPr>
            <w:tcW w:type="dxa" w:w="170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6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6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76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17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76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17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76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reverses an earlier Jinja-only recommendation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original recommendation was server-rendered Jinja + HTMX throughout, on the assumption that no mobile app meant no API was needed. The product now targets native apps, which require a JSON API. React Native shares concepts and code with React; Jinja templates share nothing with a mobile app.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Consumer web app in Next.js + TypeScript. Mobile in React Native + Expo, reusing the API client. Admin console stays Jinja + HTMX.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35"/>
        <w:gridCol w:w="7225"/>
      </w:tblGrid>
      <w:tr>
        <w:trPr>
          <w:tblHeader/>
        </w:trPr>
        <w:tc>
          <w:tcPr>
            <w:tcW w:type="dxa" w:w="213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1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Jinja + HTMX everywhere</w:t>
            </w:r>
          </w:p>
        </w:tc>
        <w:tc>
          <w:tcPr>
            <w:tcW w:type="dxa" w:w="7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Means writing the frontend twice once mobile arrives (~22–31 days of migration).</w:t>
            </w:r>
          </w:p>
        </w:tc>
      </w:tr>
      <w:tr>
        <w:trPr>
          <w:tblHeader w:val="false"/>
        </w:trPr>
        <w:tc>
          <w:tcPr>
            <w:tcW w:type="dxa" w:w="213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everywhere including admin</w:t>
            </w:r>
          </w:p>
        </w:tc>
        <w:tc>
          <w:tcPr>
            <w:tcW w:type="dxa" w:w="7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is internal, form-heavy, low-traffic — server rendering genuinely wins there, and it does not block API work.</w:t>
            </w:r>
          </w:p>
        </w:tc>
      </w:tr>
      <w:tr>
        <w:trPr>
          <w:tblHeader w:val="false"/>
        </w:trPr>
        <w:tc>
          <w:tcPr>
            <w:tcW w:type="dxa" w:w="21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Vue / Svelte</w:t>
            </w:r>
          </w:p>
        </w:tc>
        <w:tc>
          <w:tcPr>
            <w:tcW w:type="dxa" w:w="7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React Native equivalent with comparable maturity.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The API is built once and serves web, mobile, and any future client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React knowledge transfers to React Native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Admin console can be built in parallel without blocking API work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~8–10 extra days of initial effort versus Jinja-only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JavaScript dependency churn is a real ongoing cost; mitigate by keeping dependencies minimal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ADR-0007 · Retain Flask; do not migrate to FastAPI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existing backend is Flask and works. The team knows it. FastAPI offers native async, automatic OpenAPI, and Pydantic integration.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Stay on Flask. Add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apiflask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flask-pydantic</w:t>
      </w:r>
      <w:r>
        <w:rPr>
          <w:color w:val="13272F"/>
          <w:sz w:val="20"/>
          <w:szCs w:val="20"/>
        </w:rPr>
        <w:t xml:space="preserve"> for typed request/response schemas and generated OpenAPI documentation.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74"/>
        <w:gridCol w:w="7986"/>
      </w:tblGrid>
      <w:tr>
        <w:trPr>
          <w:tblHeader/>
        </w:trPr>
        <w:tc>
          <w:tcPr>
            <w:tcW w:type="dxa" w:w="137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9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37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Migrate to FastAPI</w:t>
            </w:r>
          </w:p>
        </w:tc>
        <w:tc>
          <w:tcPr>
            <w:tcW w:type="dxa" w:w="79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rewrite of the HTTP layer for benefits largely obtainable by adding a library — while simultaneously adding a database and a new frontend. Three destabilising changes at once.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Zero migration cost; existing routes and tests keep working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Typed schemas and OpenAPI obtained via library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No native async; concurrent LLM calls handled with threads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Revisit only if async concurrency becomes a measured bottleneck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ADR-0008 · Deploy to Render (or Railway), not Vercel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brief proposed Vercel. Vercel runs Python as serverless functions with execution-time caps and cold starts. Our app is a persistent server-rendered Python service that loads an embedding model and makes multi-second LLM calls with retries.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Deploy as a Docker web service on Render (Railway equivalent). Managed Postgres via Supabase. Revisit Vercel only if the frontend is split out as a standalone Next.js deployment.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62"/>
        <w:gridCol w:w="7398"/>
      </w:tblGrid>
      <w:tr>
        <w:trPr>
          <w:tblHeader/>
        </w:trPr>
        <w:tc>
          <w:tcPr>
            <w:tcW w:type="dxa" w:w="196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3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Vercel</w:t>
            </w:r>
          </w:p>
        </w:tc>
        <w:tc>
          <w:tcPr>
            <w:tcW w:type="dxa" w:w="7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Serverless model conflicts with persistent process, embedding-model load time, and long LLM calls.</w:t>
            </w:r>
          </w:p>
        </w:tc>
      </w:tr>
      <w:tr>
        <w:trPr>
          <w:tblHeader w:val="false"/>
        </w:trPr>
        <w:tc>
          <w:tcPr>
            <w:tcW w:type="dxa" w:w="19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AWS / GCP / Azure directly</w:t>
            </w:r>
          </w:p>
        </w:tc>
        <w:tc>
          <w:tcPr>
            <w:tcW w:type="dxa" w:w="73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Construction kits; unnecessary operational surface for one service and one database at this stage.</w:t>
            </w:r>
          </w:p>
        </w:tc>
      </w:tr>
      <w:tr>
        <w:trPr>
          <w:tblHeader w:val="false"/>
        </w:trPr>
        <w:tc>
          <w:tcPr>
            <w:tcW w:type="dxa" w:w="1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Self-hosted VPS</w:t>
            </w:r>
          </w:p>
        </w:tc>
        <w:tc>
          <w:tcPr>
            <w:tcW w:type="dxa" w:w="73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ops owner.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Docker-native deploys, persistent processes, cron for the Case Factory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Free tier adequate for pilot; ~$25/month at early launch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Containerisation keeps migration cost low if we outgrow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Less control than a hyperscaler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Move to GCP Cloud Run when the bill passes roughly $500/month or a structural need appears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ADR-0009 · Modular monolith, not microservices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has a web app, an assessment engine, an LLM gateway, and an offline Case Factory. Two developers, no dedicated ops.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Single deployable application with enforced internal layering: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must not import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checked by import-linter in CI. The Case Factory runs as a separate process because it is a batch job, not because it is a separate service.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51"/>
        <w:gridCol w:w="7709"/>
      </w:tblGrid>
      <w:tr>
        <w:trPr>
          <w:tblHeader/>
        </w:trPr>
        <w:tc>
          <w:tcPr>
            <w:tcW w:type="dxa" w:w="16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7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6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77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Distributed transactions and network failure modes for a workload that fits on one small instance.</w:t>
            </w:r>
          </w:p>
        </w:tc>
      </w:tr>
      <w:tr>
        <w:trPr>
          <w:tblHeader w:val="false"/>
        </w:trPr>
        <w:tc>
          <w:tcPr>
            <w:tcW w:type="dxa" w:w="16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Unstructured monolith</w:t>
            </w:r>
          </w:p>
        </w:tc>
        <w:tc>
          <w:tcPr>
            <w:tcW w:type="dxa" w:w="77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current state; assessment logic is not independently testable.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Separation of concerns without network boundaries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Domain layer unit-testable with no database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One thing to deploy, monitor, and debug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discipline to maintain the import boundary (automated in CI)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ADR-0010 · Cases are immutable and versioned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session's results are only interpretable in the context of the exact case content the learner saw. Editing a published case would silently invalidate historical data.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 holds identity;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holds immutable content. Sessions reference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case_version_id</w:t>
      </w:r>
      <w:r>
        <w:rPr>
          <w:color w:val="13272F"/>
          <w:sz w:val="20"/>
          <w:szCs w:val="20"/>
        </w:rPr>
        <w:t xml:space="preserve">, never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case_id</w:t>
      </w:r>
      <w:r>
        <w:rPr>
          <w:color w:val="13272F"/>
          <w:sz w:val="20"/>
          <w:szCs w:val="20"/>
        </w:rPr>
        <w:t xml:space="preserve">. Editing a published case creates a new draft version.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91"/>
        <w:gridCol w:w="6669"/>
      </w:tblGrid>
      <w:tr>
        <w:trPr>
          <w:tblHeader/>
        </w:trPr>
        <w:tc>
          <w:tcPr>
            <w:tcW w:type="dxa" w:w="2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6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Mutable case rows</w:t>
            </w:r>
          </w:p>
        </w:tc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Historical results become uninterpretable after any edit.</w:t>
            </w:r>
          </w:p>
        </w:tc>
      </w:tr>
      <w:tr>
        <w:trPr>
          <w:tblHeader w:val="false"/>
        </w:trPr>
        <w:tc>
          <w:tcPr>
            <w:tcW w:type="dxa" w:w="2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Full-database snapshots</w:t>
            </w:r>
          </w:p>
        </w:tc>
        <w:tc>
          <w:tcPr>
            <w:tcW w:type="dxa" w:w="6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Heavy and does not localise the problem.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Historical results remain valid indefinitely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Clinical review attaches to a specific, frozen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Enables safe A/B testing of case variants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More rows and a slightly more complex publish flow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ADR-0011 · Per-job LLM routing rather than one model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makes model calls for five purposes — patient roleplay, feedback, case extraction, quality judging, grounding — with materially different requirements for latency, cost, and capability.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Route each purpose to an appropriate model through a single gateway abstraction. Cheap and fast for the high-volume patient turn; stronger models for the once-per-session feedback and for offline Case Factory work. The Factory's judge must be a </w:t>
      </w:r>
      <w:r>
        <w:rPr>
          <w:i/>
          <w:iCs/>
          <w:color w:val="13272F"/>
          <w:sz w:val="20"/>
          <w:szCs w:val="20"/>
        </w:rPr>
        <w:t xml:space="preserve">different</w:t>
      </w:r>
      <w:r>
        <w:rPr>
          <w:color w:val="13272F"/>
          <w:sz w:val="20"/>
          <w:szCs w:val="20"/>
        </w:rPr>
        <w:t xml:space="preserve"> model from its extractor.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484"/>
        <w:gridCol w:w="6876"/>
      </w:tblGrid>
      <w:tr>
        <w:trPr>
          <w:tblHeader/>
        </w:trPr>
        <w:tc>
          <w:tcPr>
            <w:tcW w:type="dxa" w:w="24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8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4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model for everything</w:t>
            </w:r>
          </w:p>
        </w:tc>
        <w:tc>
          <w:tcPr>
            <w:tcW w:type="dxa" w:w="68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Either overpays on the high-volume path or under-delivers on structured extraction.</w:t>
            </w:r>
          </w:p>
        </w:tc>
      </w:tr>
      <w:tr>
        <w:trPr>
          <w:tblHeader w:val="false"/>
        </w:trPr>
        <w:tc>
          <w:tcPr>
            <w:tcW w:type="dxa" w:w="24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model extracts and judges</w:t>
            </w:r>
          </w:p>
        </w:tc>
        <w:tc>
          <w:tcPr>
            <w:tcW w:type="dxa" w:w="68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Correlated errors; a model does not catch its own blind spots.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Cost optimised where volume is high, quality where it is visible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Provider switching is a configuration change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Decorrelated errors in the Factory QA gate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More configuration surface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per-purpose cost accounting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ADR-0012 · Natural Language Inference for grounding, not an LLM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Case Factory must verify that every generated clinical fact is supported by its source record. This is textual entailment — a well-defined classification task with purpose-built models.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 a DeBERTa-class NLI model for the grounding check, escalating to an LLM only for cases the NLI model marks uncertain.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06"/>
        <w:gridCol w:w="7154"/>
      </w:tblGrid>
      <w:tr>
        <w:trPr>
          <w:tblHeader/>
        </w:trPr>
        <w:tc>
          <w:tcPr>
            <w:tcW w:type="dxa" w:w="22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15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2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for every grounding check</w:t>
            </w:r>
          </w:p>
        </w:tc>
        <w:tc>
          <w:tcPr>
            <w:tcW w:type="dxa" w:w="715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Slower, more expensive, and non-deterministic for a task that is fundamentally classification.</w:t>
            </w:r>
          </w:p>
        </w:tc>
      </w:tr>
      <w:tr>
        <w:trPr>
          <w:tblHeader w:val="false"/>
        </w:trPr>
        <w:tc>
          <w:tcPr>
            <w:tcW w:type="dxa" w:w="22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String matching only</w:t>
            </w:r>
          </w:p>
        </w:tc>
        <w:tc>
          <w:tcPr>
            <w:tcW w:type="dxa" w:w="715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Misses paraphrase; too brittle.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Deterministic and auditable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Runs on CPU at no per-call cost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More appropriate to the task than open-ended generation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One more model artefact to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a confidence threshold for escalation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ADR-0013 · Prebuilt embeddings first; fine-tune later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Keyword matching caused every detector error observed in validation. Semantic matching would fix it. Training an embedding model from scratch is not viable; fine-tuning requires labelled pairs we do not yet have.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Ship with a prebuilt sentence-transformer in a hybrid keyword-plus-embedding matcher. Collect labelled pairs through an admin review queue. Fine-tune once ~2 000 pairs exist, and only ship the fine-tuned model if it beats the baseline on a held-out set.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90"/>
        <w:gridCol w:w="7470"/>
      </w:tblGrid>
      <w:tr>
        <w:trPr>
          <w:tblHeader/>
        </w:trPr>
        <w:tc>
          <w:tcPr>
            <w:tcW w:type="dxa" w:w="18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4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1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Train from scratch</w:t>
            </w:r>
          </w:p>
        </w:tc>
        <w:tc>
          <w:tcPr>
            <w:tcW w:type="dxa" w:w="7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Millions of pairs, multi-GPU weeks — not viable for this team, and unnecessary.</w:t>
            </w:r>
          </w:p>
        </w:tc>
      </w:tr>
      <w:tr>
        <w:trPr>
          <w:tblHeader w:val="false"/>
        </w:trPr>
        <w:tc>
          <w:tcPr>
            <w:tcW w:type="dxa" w:w="1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Fine-tune immediately</w:t>
            </w:r>
          </w:p>
        </w:tc>
        <w:tc>
          <w:tcPr>
            <w:tcW w:type="dxa" w:w="74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Would overfit on a few hundred hand-made pairs and perform worse than the baseline.</w:t>
            </w:r>
          </w:p>
        </w:tc>
      </w:tr>
      <w:tr>
        <w:trPr>
          <w:tblHeader w:val="false"/>
        </w:trPr>
        <w:tc>
          <w:tcPr>
            <w:tcW w:type="dxa" w:w="1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 embeddings</w:t>
            </w:r>
          </w:p>
        </w:tc>
        <w:tc>
          <w:tcPr>
            <w:tcW w:type="dxa" w:w="74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Adds latency, cost, and an external dependency to every question.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Ships now at zero cost, on CPU, with data never leaving the server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Creates the labelled corpus as a by-product of normal operation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Fine-tuning later is a contained, measurable change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Encoder version becomes part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</w:t>
      </w:r>
      <w:r>
        <w:rPr>
          <w:color w:val="13272F"/>
          <w:sz w:val="20"/>
          <w:szCs w:val="20"/>
        </w:rPr>
        <w:t xml:space="preserve">; changing it requires replay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ADR-0014 · No case retirement policy; use variants instead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Repeated exposure degrades a trap case's validity once answers circulate. A retirement policy would cap the useful life of expensive hand-authored content.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automatic retirement. Instead: system-selected cases rather than user choice, a deep bank, generated case variants (same trap, different patient details and values), anomaly detection for suspiciously fast-and-perfect sessions, and per-case difficulty monitoring so a collapsing trap rate can be acted on individually.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17"/>
        <w:gridCol w:w="7243"/>
      </w:tblGrid>
      <w:tr>
        <w:trPr>
          <w:tblHeader/>
        </w:trPr>
        <w:tc>
          <w:tcPr>
            <w:tcW w:type="dxa" w:w="211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72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1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Retire after N uses</w:t>
            </w:r>
          </w:p>
        </w:tc>
        <w:tc>
          <w:tcPr>
            <w:tcW w:type="dxa" w:w="72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Discards expensive content on a schedule rather than on evidence.</w:t>
            </w:r>
          </w:p>
        </w:tc>
      </w:tr>
      <w:tr>
        <w:trPr>
          <w:tblHeader w:val="false"/>
        </w:trPr>
        <w:tc>
          <w:tcPr>
            <w:tcW w:type="dxa" w:w="211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nothing</w:t>
            </w:r>
          </w:p>
        </w:tc>
        <w:tc>
          <w:tcPr>
            <w:tcW w:type="dxa" w:w="72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Answer sharing would silently degrade the measurement.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Authoring effort retains value indefinitely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Variants multiply the return on each authored case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Retirement remains available as a per-case judgement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Requires variant generation and anomaly detection to be built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ADR-0015 · Direct-to-consumer, with the institutional path preserved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7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2026-08-22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Deciders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  <w:tr>
        <w:trPr>
          <w:tblHeader w:val="false"/>
        </w:trPr>
        <w:tc>
          <w:tcPr>
            <w:tcW w:type="dxa" w:w="26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7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original design assumed institutional B2B: institutions, cohorts, educators assigning cases. The product decision is to serve individual medical professionals directly.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Build for individual accounts with subscriptions. Retain a nullable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institution_id</w:t>
      </w:r>
      <w:r>
        <w:rPr>
          <w:color w:val="13272F"/>
          <w:sz w:val="20"/>
          <w:szCs w:val="20"/>
        </w:rPr>
        <w:t xml:space="preserve">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</w:t>
      </w:r>
      <w:r>
        <w:rPr>
          <w:color w:val="13272F"/>
          <w:sz w:val="20"/>
          <w:szCs w:val="20"/>
        </w:rPr>
        <w:t xml:space="preserve"> so a cohort product remains possible without a migration.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Alternatives considered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824"/>
        <w:gridCol w:w="6536"/>
      </w:tblGrid>
      <w:tr>
        <w:trPr>
          <w:tblHeader/>
        </w:trPr>
        <w:tc>
          <w:tcPr>
            <w:tcW w:type="dxa" w:w="28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65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rejected</w:t>
            </w:r>
          </w:p>
        </w:tc>
      </w:tr>
      <w:tr>
        <w:trPr>
          <w:tblHeader w:val="false"/>
        </w:trPr>
        <w:tc>
          <w:tcPr>
            <w:tcW w:type="dxa" w:w="28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Institutional B2B first</w:t>
            </w:r>
          </w:p>
        </w:tc>
        <w:tc>
          <w:tcPr>
            <w:tcW w:type="dxa" w:w="6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Long sales cycles, procurement, and a product shaped by buyers who are not users.</w:t>
            </w:r>
          </w:p>
        </w:tc>
      </w:tr>
      <w:tr>
        <w:trPr>
          <w:tblHeader w:val="false"/>
        </w:trPr>
        <w:tc>
          <w:tcPr>
            <w:tcW w:type="dxa" w:w="28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both simultaneously</w:t>
            </w:r>
          </w:p>
        </w:tc>
        <w:tc>
          <w:tcPr>
            <w:tcW w:type="dxa" w:w="65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Doubles surface area before either is validated.</w:t>
            </w:r>
          </w:p>
        </w:tc>
      </w:tr>
      <w:tr>
        <w:trPr>
          <w:tblHeader w:val="false"/>
        </w:trPr>
        <w:tc>
          <w:tcPr>
            <w:tcW w:type="dxa" w:w="28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Drop institutional support entirely</w:t>
            </w:r>
          </w:p>
        </w:tc>
        <w:tc>
          <w:tcPr>
            <w:tcW w:type="dxa" w:w="6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nullable column costs nothing now and saves weeks later.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Consequences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Faster path to real users and revenue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Self-serve growth rather than sales-led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+ B2B remains reachable without a schema rewrite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Educator features, cohort assignment and aggregate dashboards are out of scope for v1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− Research studies become opt-in rather than cohort-wide (see TECH_SPEC §10)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2026-08-22T15:17:40.378Z</dcterms:created>
  <dcterms:modified xsi:type="dcterms:W3CDTF">2026-08-22T15:17:40.379Z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