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Scope, order of operations, and what stays unchanged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Rename plan — VPSim to Nidan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Phase A executed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Status: Phase A executed, 11 September 2026. Phase B not done and may never be.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D-8 was decided on 9 September 2026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§11). This is the plan for making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in one deliberate change rather than letting the new name leak in gradually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while the old one persists in half the repository.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The scope, measured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estimated — counted.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030"/>
        <w:gridCol w:w="4896"/>
        <w:gridCol w:w="3434"/>
      </w:tblGrid>
      <w:tr>
        <w:trPr>
          <w:tblHeader/>
        </w:trPr>
        <w:tc>
          <w:tcPr>
            <w:tcW w:type="dxa" w:w="103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489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Occurrences</w:t>
            </w:r>
          </w:p>
        </w:tc>
        <w:tc>
          <w:tcPr>
            <w:tcW w:type="dxa" w:w="34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Renaming it breaks something?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Python package `vpsim/`</w:t>
            </w:r>
          </w:p>
        </w:tc>
        <w:tc>
          <w:tcPr>
            <w:tcW w:type="dxa" w:w="48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37 files</w:t>
            </w:r>
          </w:p>
        </w:tc>
        <w:tc>
          <w:tcPr>
            <w:tcW w:type="dxa" w:w="3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every import, the console script, the coverage gate, the layering contract</w:t>
            </w:r>
          </w:p>
        </w:tc>
      </w:tr>
      <w:tr>
        <w:trPr>
          <w:tblHeader w:val="false"/>
        </w:trPr>
        <w:tc>
          <w:tcPr>
            <w:tcW w:type="dxa" w:w="10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</w:p>
        </w:tc>
        <w:tc>
          <w:tcPr>
            <w:tcW w:type="dxa" w:w="48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</w:t>
            </w:r>
          </w:p>
        </w:tc>
        <w:tc>
          <w:tcPr>
            <w:tcW w:type="dxa" w:w="3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package name, entry point,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--cov</w:t>
            </w:r>
            <w:r>
              <w:rPr>
                <w:color w:val="13272F"/>
                <w:sz w:val="17"/>
                <w:szCs w:val="17"/>
              </w:rPr>
              <w:t xml:space="preserve"> target, import-linter root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docker-compose.yml</w:t>
            </w:r>
          </w:p>
        </w:tc>
        <w:tc>
          <w:tcPr>
            <w:tcW w:type="dxa" w:w="48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3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container names, Postgres user/db,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DATABASE_URL</w:t>
            </w:r>
          </w:p>
        </w:tc>
      </w:tr>
      <w:tr>
        <w:trPr>
          <w:tblHeader w:val="false"/>
        </w:trPr>
        <w:tc>
          <w:tcPr>
            <w:tcW w:type="dxa" w:w="10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Dockerfile</w:t>
            </w:r>
          </w:p>
        </w:tc>
        <w:tc>
          <w:tcPr>
            <w:tcW w:type="dxa" w:w="48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</w:t>
            </w:r>
          </w:p>
        </w:tc>
        <w:tc>
          <w:tcPr>
            <w:tcW w:type="dxa" w:w="3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COPY</w:t>
            </w:r>
            <w:r>
              <w:rPr>
                <w:color w:val="13272F"/>
                <w:sz w:val="17"/>
                <w:szCs w:val="17"/>
              </w:rPr>
              <w:t xml:space="preserve">, the runtime user, the gunicorn target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.env.example</w:t>
            </w:r>
          </w:p>
        </w:tc>
        <w:tc>
          <w:tcPr>
            <w:tcW w:type="dxa" w:w="48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3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— documentation of defaults</w:t>
            </w:r>
          </w:p>
        </w:tc>
      </w:tr>
      <w:tr>
        <w:trPr>
          <w:tblHeader w:val="false"/>
        </w:trPr>
        <w:tc>
          <w:tcPr>
            <w:tcW w:type="dxa" w:w="10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.github/workflows/ci.yml</w:t>
            </w:r>
          </w:p>
        </w:tc>
        <w:tc>
          <w:tcPr>
            <w:tcW w:type="dxa" w:w="48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3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Minor — image tag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</w:p>
        </w:tc>
        <w:tc>
          <w:tcPr>
            <w:tcW w:type="dxa" w:w="48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3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0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Markdown docs</w:t>
            </w:r>
          </w:p>
        </w:tc>
        <w:tc>
          <w:tcPr>
            <w:tcW w:type="dxa" w:w="48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48 across 15 files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corrected; the original 259 was a case-insensitive count that swept in the package identifier</w:t>
            </w:r>
          </w:p>
        </w:tc>
        <w:tc>
          <w:tcPr>
            <w:tcW w:type="dxa" w:w="3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0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*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`.docx` files named `VPSim_</w:t>
            </w:r>
            <w:r>
              <w:rPr>
                <w:color w:val="13272F"/>
                <w:sz w:val="17"/>
                <w:szCs w:val="17"/>
              </w:rPr>
              <w:t xml:space="preserve">`**</w:t>
            </w:r>
          </w:p>
        </w:tc>
        <w:tc>
          <w:tcPr>
            <w:tcW w:type="dxa" w:w="48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25</w:t>
            </w:r>
          </w:p>
        </w:tc>
        <w:tc>
          <w:tcPr>
            <w:tcW w:type="dxa" w:w="34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— regenerated anyway</w:t>
            </w:r>
          </w:p>
        </w:tc>
      </w:tr>
      <w:tr>
        <w:trPr>
          <w:tblHeader w:val="false"/>
        </w:trPr>
        <w:tc>
          <w:tcPr>
            <w:tcW w:type="dxa" w:w="103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GitHub repository name</w:t>
            </w:r>
          </w:p>
        </w:tc>
        <w:tc>
          <w:tcPr>
            <w:tcW w:type="dxa" w:w="48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34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Yes for anyone who has cloned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decision that shapes everything else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There are two different names here, and they do not have to change together.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516"/>
        <w:gridCol w:w="3844"/>
      </w:tblGrid>
      <w:tr>
        <w:trPr>
          <w:tblHeader/>
        </w:trPr>
        <w:tc>
          <w:tcPr>
            <w:tcW w:type="dxa" w:w="55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8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product</w:t>
            </w:r>
            <w:r>
              <w:rPr>
                <w:color w:val="13272F"/>
                <w:sz w:val="17"/>
                <w:szCs w:val="17"/>
              </w:rPr>
              <w:t xml:space="preserve"> — what users see</w:t>
            </w:r>
          </w:p>
        </w:tc>
        <w:tc>
          <w:tcPr>
            <w:tcW w:type="dxa" w:w="38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</w:t>
            </w:r>
            <w:r>
              <w:rPr>
                <w:color w:val="13272F"/>
                <w:sz w:val="17"/>
                <w:szCs w:val="17"/>
              </w:rPr>
              <w:t xml:space="preserve"> →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Nidan</w:t>
            </w:r>
          </w:p>
        </w:tc>
      </w:tr>
      <w:tr>
        <w:trPr>
          <w:tblHeader w:val="false"/>
        </w:trPr>
        <w:tc>
          <w:tcPr>
            <w:tcW w:type="dxa" w:w="5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Python package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import vpsim</w:t>
            </w:r>
          </w:p>
        </w:tc>
        <w:tc>
          <w:tcPr>
            <w:tcW w:type="dxa" w:w="38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</w:t>
            </w:r>
            <w:r>
              <w:rPr>
                <w:color w:val="13272F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nidan</w:t>
            </w:r>
            <w:r>
              <w:rPr>
                <w:color w:val="13272F"/>
                <w:sz w:val="17"/>
                <w:szCs w:val="17"/>
              </w:rPr>
              <w:t xml:space="preserve">?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Optional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package identifier is internal. No user ever sees it. Renaming it touches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37 files, the Docker user, the database name, the coverage configuration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layering contract — and every one of those is a chance to break a build for zero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user-visible benefit.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Recommendation: rename the product now, rename the package later — or never.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Precedent is on that side. Facebook's internal codebase kept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thefacebook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references for years. What matters is that the </w:t>
      </w:r>
      <w:r>
        <w:rPr>
          <w:i/>
          <w:iCs/>
          <w:color w:val="13272F"/>
          <w:sz w:val="20"/>
          <w:szCs w:val="20"/>
        </w:rPr>
        <w:t xml:space="preserve">product</w:t>
      </w:r>
      <w:r>
        <w:rPr>
          <w:color w:val="13272F"/>
          <w:sz w:val="20"/>
          <w:szCs w:val="20"/>
        </w:rPr>
        <w:t xml:space="preserve"> is consistently Nidan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everywhere a human reads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the package is renamed, do it as its own task, on its own branch, verified by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full CI suite — never bundled with a documentation change.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Phase A — the product name — ✅ DONE (11 September 2026)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**Actual effort: under an hour. 36 replacements across 13 files, 26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.docx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regenerated.** Smaller than planned, because the 259 figure was wrong (§1).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Domains were deliberately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secured first, against the advice in A1.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name was already public in a pushed commit by then, so delaying the rename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longer reduced the squatting risk — it only delayed the work. **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nidan.app</w:t>
      </w:r>
      <w:r>
        <w:rPr>
          <w:color w:val="13272F"/>
          <w:sz w:val="20"/>
          <w:szCs w:val="20"/>
        </w:rPr>
        <w:t xml:space="preserve">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still unbought.**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user-facing strings in the code were changed as well as the documentation,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because a configuration error and a start-up banner are read by humans: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* Nidan running on http://127.0.0.1:8000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 cannot start — configuration is invalid: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 six CI checks passed after the change.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A1 · Secure the domains before anything is public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nidan.app        the product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nidan.md         memorable, and reads as "MD"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nidan.health     optional, defensive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this first.</w:t>
      </w:r>
      <w:r>
        <w:rPr>
          <w:color w:val="13272F"/>
          <w:sz w:val="20"/>
          <w:szCs w:val="20"/>
        </w:rPr>
        <w:t xml:space="preserve"> The moment the name appears in a public repository, a public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 title or a conversation outside the team, it is discoverable. Domains are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cheap; a name you cannot use is not.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Also check, in the same sitting: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Trademark</w:t>
      </w:r>
      <w:r>
        <w:rPr>
          <w:color w:val="13272F"/>
          <w:sz w:val="20"/>
          <w:szCs w:val="20"/>
        </w:rPr>
        <w:t xml:space="preserve"> — a search in your launch jurisdiction. I cannot do this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App Store</w:t>
      </w:r>
      <w:r>
        <w:rPr>
          <w:color w:val="13272F"/>
          <w:sz w:val="20"/>
          <w:szCs w:val="20"/>
        </w:rPr>
        <w:t xml:space="preserve"> — is there an app called Nidan already?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Social handles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@nidan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@nidanapp</w:t>
      </w:r>
      <w:r>
        <w:rPr>
          <w:color w:val="13272F"/>
          <w:sz w:val="20"/>
          <w:szCs w:val="20"/>
        </w:rPr>
        <w:t xml:space="preserve"> on the platforms you would use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A2 · Documentation and user-facing 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259 occurrences, 22 files. Mechanical, but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a blind find-and-replace: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</w:t>
      </w:r>
      <w:r>
        <w:rPr>
          <w:color w:val="13272F"/>
          <w:sz w:val="20"/>
          <w:szCs w:val="20"/>
        </w:rPr>
        <w:t xml:space="preserve"> — the product name in prose, titles, headers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→ leave alone — that is the package path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vpsim.app:app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 vpsim</w:t>
      </w:r>
      <w:r>
        <w:rPr>
          <w:color w:val="13272F"/>
          <w:sz w:val="20"/>
          <w:szCs w:val="20"/>
        </w:rPr>
        <w:t xml:space="preserve"> → leave alone — those are code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VPSim_*.docx</w:t>
      </w:r>
      <w:r>
        <w:rPr>
          <w:color w:val="13272F"/>
          <w:sz w:val="20"/>
          <w:szCs w:val="20"/>
        </w:rPr>
        <w:t xml:space="preserve"> → regenerate as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Nidan_*.docx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build logs are a special case. **T-001 to T-007 describe work done under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old name.** Rewriting them would make the record inaccurate — they would claim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have built "Nidan" before Nidan existed. Add a one-line note at the top of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docs/build-log/README.md</w:t>
      </w:r>
      <w:r>
        <w:rPr>
          <w:color w:val="13272F"/>
          <w:sz w:val="20"/>
          <w:szCs w:val="20"/>
        </w:rPr>
        <w:t xml:space="preserve"> saying the product was renamed on 9 September 2026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earlier logs use the working title, then leave their contents alone.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A3 · Regenerate the 25 `.docx` files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docs/spec/md2docx.js</w:t>
      </w:r>
      <w:r>
        <w:rPr>
          <w:color w:val="13272F"/>
          <w:sz w:val="20"/>
          <w:szCs w:val="20"/>
        </w:rPr>
        <w:t xml:space="preserve"> takes the title as an argument, so this is a loop, not 25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manual edits.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A4 · The GitHub repository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A-bias-aware-vp-simulator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GitHub redirects the old URL, so existing clones keep working. But anyone with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clone should still run: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remote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url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https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://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github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VrajPatel2611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 this </w:t>
      </w:r>
      <w:r>
        <w:rPr>
          <w:b/>
          <w:bCs/>
          <w:color w:val="13272F"/>
          <w:sz w:val="20"/>
          <w:szCs w:val="20"/>
        </w:rPr>
        <w:t xml:space="preserve">after</w:t>
      </w:r>
      <w:r>
        <w:rPr>
          <w:color w:val="13272F"/>
          <w:sz w:val="20"/>
          <w:szCs w:val="20"/>
        </w:rPr>
        <w:t xml:space="preserve"> the documentation change is merged, so the repository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already internally consistent when its name changes.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Phase B — the package (optional, later)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Effort: one day. Risk: medium. Do not bundle with anything else.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if you decide it matters. The order is load-bearing: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git mv vpsim nidan</w:t>
      </w:r>
      <w:r>
        <w:rPr>
          <w:color w:val="13272F"/>
          <w:sz w:val="20"/>
          <w:szCs w:val="20"/>
        </w:rPr>
        <w:t xml:space="preserve"> — preserves history, as in T-001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color w:val="13272F"/>
          <w:sz w:val="20"/>
          <w:szCs w:val="20"/>
        </w:rPr>
        <w:t xml:space="preserve">Rewrite imports across 37 files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name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[project.scripts]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packages.find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package-data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--cov=nidan.domain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importlinter.root_package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tests/test_layering.py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tests/test_no_network.py</w:t>
      </w:r>
      <w:r>
        <w:rPr>
          <w:color w:val="13272F"/>
          <w:sz w:val="20"/>
          <w:szCs w:val="20"/>
        </w:rPr>
        <w:t xml:space="preserve"> — both hard-code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package path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COPY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useradd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gunicorn nidan.app:app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— container names, Postgres user and database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nidan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-e ".[dev]"</w:t>
      </w:r>
      <w:r>
        <w:rPr>
          <w:color w:val="13272F"/>
          <w:sz w:val="20"/>
          <w:szCs w:val="20"/>
        </w:rPr>
        <w:t xml:space="preserve">, full CI green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database name is the trap.</w:t>
      </w:r>
      <w:r>
        <w:rPr>
          <w:color w:val="13272F"/>
          <w:sz w:val="20"/>
          <w:szCs w:val="20"/>
        </w:rPr>
        <w:t xml:space="preserve"> Changing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POSTGRES_DB</w:t>
      </w:r>
      <w:r>
        <w:rPr>
          <w:color w:val="13272F"/>
          <w:sz w:val="20"/>
          <w:szCs w:val="20"/>
        </w:rPr>
        <w:t xml:space="preserve"> means existing local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volumes point at a database that no longer exists. Anyone with a running stack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needs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 down -v</w:t>
      </w:r>
      <w:r>
        <w:rPr>
          <w:color w:val="13272F"/>
          <w:sz w:val="20"/>
          <w:szCs w:val="20"/>
        </w:rPr>
        <w:t xml:space="preserve">, which </w:t>
      </w:r>
      <w:r>
        <w:rPr>
          <w:b/>
          <w:bCs/>
          <w:color w:val="13272F"/>
          <w:sz w:val="20"/>
          <w:szCs w:val="20"/>
        </w:rPr>
        <w:t xml:space="preserve">deletes their local data</w:t>
      </w:r>
      <w:r>
        <w:rPr>
          <w:color w:val="13272F"/>
          <w:sz w:val="20"/>
          <w:szCs w:val="20"/>
        </w:rPr>
        <w:t xml:space="preserve">. Harmless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today — the app does not use the database yet. </w:t>
      </w:r>
      <w:r>
        <w:rPr>
          <w:b/>
          <w:bCs/>
          <w:color w:val="13272F"/>
          <w:sz w:val="20"/>
          <w:szCs w:val="20"/>
        </w:rPr>
        <w:t xml:space="preserve">After T-010 it would not be.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alone is an argument for doing Phase B now if it is going to be done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all, or accepting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</w:t>
      </w:r>
      <w:r>
        <w:rPr>
          <w:color w:val="13272F"/>
          <w:sz w:val="20"/>
          <w:szCs w:val="20"/>
        </w:rPr>
        <w:t xml:space="preserve"> as a permanent internal name.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Order of operations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1. Secure nidan.app and nidan.md                     ← do this today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2. Trademark and App Store 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3. Phase A — docs, .docx, CLAUDE.md          one PR, low risk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4. Rename the GitHub repository              after (3) merges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5. Phase B — the package                     separate PR, or never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Steps 3 and 5 must not share a pull request. One is a documentation change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cannot break the build; the other touches the import graph, the container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database. Reviewing them together means reviewing neither.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What stays "VPSim" permanently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Worth stating so nobody "fixes" these later: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research paper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report/main.tex</w:t>
      </w:r>
      <w:r>
        <w:rPr>
          <w:color w:val="13272F"/>
          <w:sz w:val="20"/>
          <w:szCs w:val="20"/>
        </w:rPr>
        <w:t xml:space="preserve">) and its results — it was published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under that name. Changing it retrospectively misrepresents the record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The 16 pilot session files</w:t>
      </w:r>
      <w:r>
        <w:rPr>
          <w:color w:val="13272F"/>
          <w:sz w:val="20"/>
          <w:szCs w:val="20"/>
        </w:rPr>
        <w:t xml:space="preserve"> — data collected under the old name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Build logs T-001 to T-007</w:t>
      </w:r>
      <w:r>
        <w:rPr>
          <w:color w:val="13272F"/>
          <w:sz w:val="20"/>
          <w:szCs w:val="20"/>
        </w:rPr>
        <w:t xml:space="preserve"> — see A2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Git history</w:t>
      </w:r>
      <w:r>
        <w:rPr>
          <w:color w:val="13272F"/>
          <w:sz w:val="20"/>
          <w:szCs w:val="20"/>
        </w:rPr>
        <w:t xml:space="preserve"> — commit messages are immutable and should stay that way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Not yet decided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`nidan.health`</w:t>
      </w:r>
      <w:r>
        <w:rPr>
          <w:color w:val="13272F"/>
          <w:sz w:val="20"/>
          <w:szCs w:val="20"/>
        </w:rPr>
        <w:t xml:space="preserve"> — buy defensively or not?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Package rename</w:t>
      </w:r>
      <w:r>
        <w:rPr>
          <w:color w:val="13272F"/>
          <w:sz w:val="20"/>
          <w:szCs w:val="20"/>
        </w:rPr>
        <w:t xml:space="preserve"> — Phase B, yes or no?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Tagline.</w:t>
      </w:r>
      <w:r>
        <w:rPr>
          <w:color w:val="13272F"/>
          <w:sz w:val="20"/>
          <w:szCs w:val="20"/>
        </w:rPr>
        <w:t xml:space="preserve"> Nidan means </w:t>
      </w:r>
      <w:r>
        <w:rPr>
          <w:i/>
          <w:iCs/>
          <w:color w:val="13272F"/>
          <w:sz w:val="20"/>
          <w:szCs w:val="20"/>
        </w:rPr>
        <w:t xml:space="preserve">diagnosis</w:t>
      </w:r>
      <w:r>
        <w:rPr>
          <w:color w:val="13272F"/>
          <w:sz w:val="20"/>
          <w:szCs w:val="20"/>
        </w:rPr>
        <w:t xml:space="preserve">, which describes the subject rather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the product. Something is needed alongside it — </w:t>
      </w:r>
      <w:r>
        <w:rPr>
          <w:i/>
          <w:iCs/>
          <w:color w:val="13272F"/>
          <w:sz w:val="20"/>
          <w:szCs w:val="20"/>
        </w:rPr>
        <w:t xml:space="preserve">"practise how you think"</w:t>
      </w:r>
      <w:r>
        <w:rPr>
          <w:color w:val="13272F"/>
          <w:sz w:val="20"/>
          <w:szCs w:val="20"/>
        </w:rPr>
        <w:t xml:space="preserve">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the idea, not the wording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Wordmark</w:t>
      </w:r>
      <w:r>
        <w:rPr>
          <w:color w:val="13272F"/>
          <w:sz w:val="20"/>
          <w:szCs w:val="20"/>
        </w:rPr>
        <w:t xml:space="preserve"> — lowercase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</w:t>
      </w:r>
      <w:r>
        <w:rPr>
          <w:color w:val="13272F"/>
          <w:sz w:val="20"/>
          <w:szCs w:val="20"/>
        </w:rPr>
        <w:t xml:space="preserve"> sets cleanly: five letters, two syllables,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no ascender/descender collisions. Worth trying before committing to a logo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2026-09-11T05:13:21.153Z</dcterms:created>
  <dcterms:modified xsi:type="dcterms:W3CDTF">2026-09-11T05:13:21.159Z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