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 SUPERSEDED — historical record only</w:t>
      </w:r>
    </w:p>
    <w:p>
      <w:pPr>
        <w:spacing w:after="100"/>
      </w:pPr>
      <w:r>
        <w:rPr>
          <w:rFonts w:ascii="Georgia" w:cs="Georgia" w:eastAsia="Georgia" w:hAnsi="Georgia"/>
          <w:b/>
          <w:bCs/>
          <w:color w:val="13272F"/>
          <w:sz w:val="56"/>
          <w:szCs w:val="56"/>
        </w:rPr>
        <w:t xml:space="preserve">Platform Specification v2</w:t>
      </w:r>
    </w:p>
    <w:p>
      <w:pPr>
        <w:spacing w:after="340"/>
      </w:pPr>
      <w:r>
        <w:rPr>
          <w:rFonts w:ascii="Georgia" w:cs="Georgia" w:eastAsia="Georgia" w:hAnsi="Georgia"/>
          <w:color w:val="1F7A8C"/>
          <w:sz w:val="24"/>
          <w:szCs w:val="24"/>
        </w:rPr>
        <w:t xml:space="preserve">Nidan — Bias-Aware Virtual Patient Simulator</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Superseded</w:t>
      </w:r>
    </w:p>
    <w:p>
      <w:pPr>
        <w:spacing w:after="110"/>
      </w:pPr>
      <w:r>
        <w:rPr>
          <w:rFonts w:ascii="Consolas" w:cs="Consolas" w:eastAsia="Consolas" w:hAnsi="Consolas"/>
          <w:b/>
          <w:bCs/>
          <w:color w:val="5F7A85"/>
          <w:sz w:val="19"/>
          <w:szCs w:val="19"/>
        </w:rPr>
        <w:t xml:space="preserve">Part of       </w:t>
      </w:r>
      <w:r>
        <w:rPr>
          <w:color w:val="13272F"/>
          <w:sz w:val="21"/>
          <w:szCs w:val="21"/>
        </w:rPr>
        <w:t xml:space="preserve">Historical</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2"/>
        <w:spacing w:after="130" w:before="300"/>
      </w:pPr>
      <w:r>
        <w:rPr>
          <w:rFonts w:ascii="Georgia" w:cs="Georgia" w:eastAsia="Georgia" w:hAnsi="Georgia"/>
          <w:b/>
          <w:bCs/>
          <w:color w:val="1F7A8C"/>
          <w:sz w:val="25"/>
          <w:szCs w:val="25"/>
        </w:rPr>
        <w:t xml:space="preserve">Admin Console, Accounts, and the Path to a Commercial Product</w:t>
      </w:r>
    </w:p>
    <w:p>
      <w:pPr>
        <w:spacing w:after="120" w:before="60" w:line="300"/>
      </w:pPr>
      <w:r>
        <w:rPr>
          <w:b/>
          <w:bCs/>
          <w:color w:val="13272F"/>
          <w:sz w:val="20"/>
          <w:szCs w:val="20"/>
        </w:rPr>
        <w:t xml:space="preserve">Supersedes:</w:t>
      </w:r>
      <w:r>
        <w:rPr>
          <w:color w:val="13272F"/>
          <w:sz w:val="20"/>
          <w:szCs w:val="20"/>
        </w:rPr>
        <w:t xml:space="preserve"> parts of </w:t>
      </w:r>
      <w:r>
        <w:rPr>
          <w:rFonts w:ascii="Consolas" w:cs="Consolas" w:eastAsia="Consolas" w:hAnsi="Consolas"/>
          <w:color w:val="B3651F"/>
          <w:sz w:val="18"/>
          <w:szCs w:val="18"/>
        </w:rPr>
        <w:t xml:space="preserve">SYSTEM_DESIGN.md</w:t>
      </w:r>
      <w:r>
        <w:rPr>
          <w:color w:val="13272F"/>
          <w:sz w:val="20"/>
          <w:szCs w:val="20"/>
        </w:rPr>
        <w:t xml:space="preserve"> v1 — see §0.3 for exactly which.</w:t>
      </w:r>
    </w:p>
    <w:p>
      <w:pPr>
        <w:spacing w:after="120" w:before="60" w:line="300"/>
      </w:pPr>
      <w:r>
        <w:rPr>
          <w:b/>
          <w:bCs/>
          <w:color w:val="13272F"/>
          <w:sz w:val="20"/>
          <w:szCs w:val="20"/>
        </w:rPr>
        <w:t xml:space="preserve">Status:</w:t>
      </w:r>
      <w:r>
        <w:rPr>
          <w:color w:val="13272F"/>
          <w:sz w:val="20"/>
          <w:szCs w:val="20"/>
        </w:rPr>
        <w:t xml:space="preserve"> Draft v2.0 — for review</w:t>
      </w:r>
    </w:p>
    <w:p>
      <w:pPr>
        <w:spacing w:after="120" w:before="60" w:line="300"/>
      </w:pPr>
      <w:r>
        <w:rPr>
          <w:b/>
          <w:bCs/>
          <w:color w:val="13272F"/>
          <w:sz w:val="20"/>
          <w:szCs w:val="20"/>
        </w:rPr>
        <w:t xml:space="preserve">Authors:</w:t>
      </w:r>
      <w:r>
        <w:rPr>
          <w:color w:val="13272F"/>
          <w:sz w:val="20"/>
          <w:szCs w:val="20"/>
        </w:rPr>
        <w:t xml:space="preserve"> Vraj Patel (202301408), Yogesh Bagotia (202301114)</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0. Preface — what changed, and why</w:t>
      </w:r>
    </w:p>
    <w:p>
      <w:pPr>
        <w:pStyle w:val="Heading2"/>
        <w:spacing w:after="130" w:before="300"/>
      </w:pPr>
      <w:r>
        <w:rPr>
          <w:rFonts w:ascii="Georgia" w:cs="Georgia" w:eastAsia="Georgia" w:hAnsi="Georgia"/>
          <w:b/>
          <w:bCs/>
          <w:color w:val="1F7A8C"/>
          <w:sz w:val="25"/>
          <w:szCs w:val="25"/>
        </w:rPr>
        <w:t xml:space="preserve">0.1 Two answers that changed the architecture</w:t>
      </w:r>
    </w:p>
    <w:p>
      <w:pPr>
        <w:spacing w:after="120" w:before="60" w:line="300"/>
      </w:pPr>
      <w:r>
        <w:rPr>
          <w:color w:val="13272F"/>
          <w:sz w:val="20"/>
          <w:szCs w:val="20"/>
        </w:rPr>
        <w:t xml:space="preserve">Your answers to §16 of v1 contained two that are not minor preference calls. They change what the product </w:t>
      </w:r>
      <w:r>
        <w:rPr>
          <w:i/>
          <w:iCs/>
          <w:color w:val="13272F"/>
          <w:sz w:val="20"/>
          <w:szCs w:val="20"/>
        </w:rPr>
        <w:t xml:space="preserve">is</w:t>
      </w:r>
      <w:r>
        <w:rPr>
          <w:color w:val="13272F"/>
          <w:sz w:val="20"/>
          <w:szCs w:val="20"/>
        </w:rPr>
        <w:t xml:space="preserve">.</w:t>
      </w:r>
    </w:p>
    <w:p>
      <w:pPr>
        <w:spacing w:after="120" w:before="60" w:line="300"/>
      </w:pPr>
      <w:r>
        <w:rPr>
          <w:b/>
          <w:bCs/>
          <w:color w:val="13272F"/>
          <w:sz w:val="20"/>
          <w:szCs w:val="20"/>
        </w:rPr>
        <w:t xml:space="preserve">D-5 — "Not institutional. A platform where medical professionals come to practise."</w:t>
      </w:r>
    </w:p>
    <w:p>
      <w:pPr>
        <w:spacing w:after="120" w:before="60" w:line="300"/>
      </w:pPr>
      <w:r>
        <w:rPr>
          <w:color w:val="13272F"/>
          <w:sz w:val="20"/>
          <w:szCs w:val="20"/>
        </w:rPr>
        <w:t xml:space="preserve">v1 was designed as institutional B2B SaaS: an institution buys it, an educator creates a cohort, students are enrolled and assigned cases. Every part of the data model assumed that hierarchy.</w:t>
      </w:r>
    </w:p>
    <w:p>
      <w:pPr>
        <w:spacing w:after="120" w:before="60" w:line="300"/>
      </w:pPr>
      <w:r>
        <w:rPr>
          <w:color w:val="13272F"/>
          <w:sz w:val="20"/>
          <w:szCs w:val="20"/>
        </w:rPr>
        <w:t xml:space="preserve">What you actually described is </w:t>
      </w:r>
      <w:r>
        <w:rPr>
          <w:b/>
          <w:bCs/>
          <w:color w:val="13272F"/>
          <w:sz w:val="20"/>
          <w:szCs w:val="20"/>
        </w:rPr>
        <w:t xml:space="preserve">B2C</w:t>
      </w:r>
      <w:r>
        <w:rPr>
          <w:color w:val="13272F"/>
          <w:sz w:val="20"/>
          <w:szCs w:val="20"/>
        </w:rPr>
        <w:t xml:space="preserve">: an individual signs up, pays (or doesn't), and practises on their own. There is no educator. There is no cohort. Nobody assigns anything.</w:t>
      </w:r>
    </w:p>
    <w:p>
      <w:pPr>
        <w:spacing w:after="120" w:before="60" w:line="300"/>
      </w:pPr>
      <w:r>
        <w:rPr>
          <w:color w:val="13272F"/>
          <w:sz w:val="20"/>
          <w:szCs w:val="20"/>
        </w:rPr>
        <w:t xml:space="preserve">That is a different product with a different data model, a different growth model, and a different revenue model.</w:t>
      </w:r>
    </w:p>
    <w:p>
      <w:pPr>
        <w:spacing w:after="120" w:before="60" w:line="300"/>
      </w:pPr>
      <w:r>
        <w:rPr>
          <w:b/>
          <w:bCs/>
          <w:color w:val="13272F"/>
          <w:sz w:val="20"/>
          <w:szCs w:val="20"/>
        </w:rPr>
        <w:t xml:space="preserve">The app-store ambition.</w:t>
      </w:r>
    </w:p>
    <w:p>
      <w:pPr>
        <w:spacing w:after="120" w:before="60" w:line="300"/>
      </w:pPr>
      <w:r>
        <w:rPr>
          <w:color w:val="13272F"/>
          <w:sz w:val="20"/>
          <w:szCs w:val="20"/>
        </w:rPr>
        <w:t xml:space="preserve">v1 recommended server-rendered Jinja + HTMX and explicitly rejected React/Next.js. That recommendation rested on one assumption: </w:t>
      </w:r>
      <w:r>
        <w:rPr>
          <w:i/>
          <w:iCs/>
          <w:color w:val="13272F"/>
          <w:sz w:val="20"/>
          <w:szCs w:val="20"/>
        </w:rPr>
        <w:t xml:space="preserve">there is no mobile app, therefore no API is needed, therefore a SPA is pure overhead.</w:t>
      </w:r>
    </w:p>
    <w:p>
      <w:pPr>
        <w:spacing w:after="120" w:before="60" w:line="300"/>
      </w:pPr>
      <w:r>
        <w:rPr>
          <w:color w:val="13272F"/>
          <w:sz w:val="20"/>
          <w:szCs w:val="20"/>
        </w:rPr>
        <w:t xml:space="preserve">You have now said you want native apps. A native app requires an API. Once an API exists, the main argument against a JavaScript frontend disappears.</w:t>
      </w:r>
    </w:p>
    <w:p>
      <w:pPr>
        <w:spacing w:after="120" w:before="60" w:line="300"/>
      </w:pPr>
      <w:r>
        <w:rPr>
          <w:b/>
          <w:bCs/>
          <w:color w:val="13272F"/>
          <w:sz w:val="20"/>
          <w:szCs w:val="20"/>
        </w:rPr>
        <w:t xml:space="preserve">I am reversing the v1 frontend recommendation.</w:t>
      </w:r>
      <w:r>
        <w:rPr>
          <w:color w:val="13272F"/>
          <w:sz w:val="20"/>
          <w:szCs w:val="20"/>
        </w:rPr>
        <w:t xml:space="preserve"> §7 explains why, and what it costs.</w:t>
      </w:r>
    </w:p>
    <w:p>
      <w:pPr>
        <w:pStyle w:val="Heading2"/>
        <w:spacing w:after="130" w:before="300"/>
      </w:pPr>
      <w:r>
        <w:rPr>
          <w:rFonts w:ascii="Georgia" w:cs="Georgia" w:eastAsia="Georgia" w:hAnsi="Georgia"/>
          <w:b/>
          <w:bCs/>
          <w:color w:val="1F7A8C"/>
          <w:sz w:val="25"/>
          <w:szCs w:val="25"/>
        </w:rPr>
        <w:t xml:space="preserve">0.2 One thing I want to flag before anything else</w:t>
      </w:r>
    </w:p>
    <w:p>
      <w:pPr>
        <w:spacing w:after="120" w:before="60" w:line="300"/>
      </w:pPr>
      <w:r>
        <w:rPr>
          <w:color w:val="13272F"/>
          <w:sz w:val="20"/>
          <w:szCs w:val="20"/>
        </w:rPr>
        <w:t xml:space="preserve">You are moving from "student research project" to "commercial product used by medical professionals." Three consequences that are easy to miss and expensive to retrofit:</w:t>
      </w:r>
    </w:p>
    <w:p>
      <w:pPr>
        <w:pStyle w:val="ListParagraph"/>
        <w:numPr>
          <w:ilvl w:val="0"/>
          <w:numId w:val="2"/>
        </w:numPr>
        <w:spacing w:after="40" w:before="40" w:line="280"/>
      </w:pPr>
      <w:r>
        <w:rPr>
          <w:b/>
          <w:bCs/>
          <w:color w:val="13272F"/>
          <w:sz w:val="20"/>
          <w:szCs w:val="20"/>
        </w:rPr>
        <w:t xml:space="preserve">Dataset licences become a legal constraint, not a formality.</w:t>
      </w:r>
      <w:r>
        <w:rPr>
          <w:color w:val="13272F"/>
          <w:sz w:val="20"/>
          <w:szCs w:val="20"/>
        </w:rPr>
        <w:t xml:space="preserve"> Several public medical datasets are non-commercial or prohibit redistribution. Building a paid product on a CC-BY-NC corpus is a licensing breach. §9.1.</w:t>
      </w:r>
    </w:p>
    <w:p>
      <w:pPr>
        <w:pStyle w:val="ListParagraph"/>
        <w:numPr>
          <w:ilvl w:val="0"/>
          <w:numId w:val="2"/>
        </w:numPr>
        <w:spacing w:after="40" w:before="40" w:line="280"/>
      </w:pPr>
      <w:r>
        <w:rPr>
          <w:b/>
          <w:bCs/>
          <w:color w:val="13272F"/>
          <w:sz w:val="20"/>
          <w:szCs w:val="20"/>
        </w:rPr>
        <w:t xml:space="preserve">You need an explicit "this is education, not clinical guidance" position</w:t>
      </w:r>
      <w:r>
        <w:rPr>
          <w:color w:val="13272F"/>
          <w:sz w:val="20"/>
          <w:szCs w:val="20"/>
        </w:rPr>
        <w:t xml:space="preserve"> — in the product, the terms, and the app-store listing. §9.3.</w:t>
      </w:r>
    </w:p>
    <w:p>
      <w:pPr>
        <w:pStyle w:val="ListParagraph"/>
        <w:numPr>
          <w:ilvl w:val="0"/>
          <w:numId w:val="2"/>
        </w:numPr>
        <w:spacing w:after="40" w:before="40" w:line="280"/>
      </w:pPr>
      <w:r>
        <w:rPr>
          <w:b/>
          <w:bCs/>
          <w:color w:val="13272F"/>
          <w:sz w:val="20"/>
          <w:szCs w:val="20"/>
        </w:rPr>
        <w:t xml:space="preserve">Your two clinician friends reviewing cases is the right instinct, but it needs to be a documented process</w:t>
      </w:r>
      <w:r>
        <w:rPr>
          <w:color w:val="13272F"/>
          <w:sz w:val="20"/>
          <w:szCs w:val="20"/>
        </w:rPr>
        <w:t xml:space="preserve">, not a favour. §4.4 and §9.4.</w:t>
      </w:r>
    </w:p>
    <w:p>
      <w:pPr>
        <w:spacing w:after="120" w:before="60" w:line="300"/>
      </w:pPr>
      <w:r>
        <w:rPr>
          <w:color w:val="13272F"/>
          <w:sz w:val="20"/>
          <w:szCs w:val="20"/>
        </w:rPr>
        <w:t xml:space="preserve">None of these are blockers. All are cheaper now than later.</w:t>
      </w:r>
    </w:p>
    <w:p>
      <w:pPr>
        <w:pStyle w:val="Heading2"/>
        <w:spacing w:after="130" w:before="300"/>
      </w:pPr>
      <w:r>
        <w:rPr>
          <w:rFonts w:ascii="Georgia" w:cs="Georgia" w:eastAsia="Georgia" w:hAnsi="Georgia"/>
          <w:b/>
          <w:bCs/>
          <w:color w:val="1F7A8C"/>
          <w:sz w:val="25"/>
          <w:szCs w:val="25"/>
        </w:rPr>
        <w:t xml:space="preserve">0.3 What still stands from v1</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02"/>
        <w:gridCol w:w="5558"/>
      </w:tblGrid>
      <w:tr>
        <w:trPr>
          <w:tblHeader/>
        </w:trPr>
        <w:tc>
          <w:tcPr>
            <w:tcW w:type="dxa" w:w="3802"/>
            <w:shd w:fill="13272F" w:val="clear"/>
            <w:tcMar>
              <w:top w:type="dxa" w:w="70"/>
              <w:left w:type="dxa" w:w="110"/>
              <w:bottom w:type="dxa" w:w="70"/>
              <w:right w:type="dxa" w:w="110"/>
            </w:tcMar>
          </w:tcPr>
          <w:p>
            <w:pPr>
              <w:spacing w:after="0" w:before="0"/>
            </w:pPr>
            <w:r>
              <w:rPr>
                <w:b/>
                <w:bCs/>
                <w:color w:val="FFFFFF"/>
                <w:sz w:val="17"/>
                <w:szCs w:val="17"/>
              </w:rPr>
              <w:t xml:space="preserve">v1 section</w:t>
            </w:r>
          </w:p>
        </w:tc>
        <w:tc>
          <w:tcPr>
            <w:tcW w:type="dxa" w:w="5558"/>
            <w:shd w:fill="13272F" w:val="clear"/>
            <w:tcMar>
              <w:top w:type="dxa" w:w="70"/>
              <w:left w:type="dxa" w:w="110"/>
              <w:bottom w:type="dxa" w:w="70"/>
              <w:right w:type="dxa" w:w="110"/>
            </w:tcMar>
          </w:tcPr>
          <w:p>
            <w:pPr>
              <w:spacing w:after="0" w:before="0"/>
            </w:pPr>
            <w:r>
              <w:rPr>
                <w:b/>
                <w:bCs/>
                <w:color w:val="FFFFFF"/>
                <w:sz w:val="17"/>
                <w:szCs w:val="17"/>
              </w:rPr>
              <w:t xml:space="preserve">Status</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§1 Current state assessment</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Unchanged</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§2 Target architecture, event sourcing</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Unchanged — event sourcing is </w:t>
            </w:r>
            <w:r>
              <w:rPr>
                <w:i/>
                <w:iCs/>
                <w:color w:val="13272F"/>
                <w:sz w:val="17"/>
                <w:szCs w:val="17"/>
              </w:rPr>
              <w:t xml:space="preserve">more</w:t>
            </w:r>
            <w:r>
              <w:rPr>
                <w:color w:val="13272F"/>
                <w:sz w:val="17"/>
                <w:szCs w:val="17"/>
              </w:rPr>
              <w:t xml:space="preserve"> important now (§4.5)</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§3 Data architecture</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Revised</w:t>
            </w:r>
            <w:r>
              <w:rPr>
                <w:color w:val="13272F"/>
                <w:sz w:val="17"/>
                <w:szCs w:val="17"/>
              </w:rPr>
              <w:t xml:space="preserve"> — tenancy model changes (§2.3)</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§4 Backend services</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Mostly stands; API surface expands (§7.4)</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§5 Case Factory</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Stands; LLM selection per stage now specified (§5.4)</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§6 Embeddings</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Extended</w:t>
            </w:r>
            <w:r>
              <w:rPr>
                <w:color w:val="13272F"/>
                <w:sz w:val="17"/>
                <w:szCs w:val="17"/>
              </w:rPr>
              <w:t xml:space="preserve"> — fine-tuning path added (§6)</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§7 Auth</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Replaced</w:t>
            </w:r>
            <w:r>
              <w:rPr>
                <w:color w:val="13272F"/>
                <w:sz w:val="17"/>
                <w:szCs w:val="17"/>
              </w:rPr>
              <w:t xml:space="preserve"> — see §3</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§8 Frontend</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Reversed</w:t>
            </w:r>
            <w:r>
              <w:rPr>
                <w:color w:val="13272F"/>
                <w:sz w:val="17"/>
                <w:szCs w:val="17"/>
              </w:rPr>
              <w:t xml:space="preserve"> — see §7</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§9 Deployment</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Extended</w:t>
            </w:r>
            <w:r>
              <w:rPr>
                <w:color w:val="13272F"/>
                <w:sz w:val="17"/>
                <w:szCs w:val="17"/>
              </w:rPr>
              <w:t xml:space="preserve"> — cloud, cost, domain (§8)</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§10–12 Observability, security, testing</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Stand</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§15.3 Exclusions</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Stand, with two additions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Decisions resolved</w:t>
      </w:r>
    </w:p>
    <w:p>
      <w:pPr>
        <w:spacing w:after="120" w:before="60" w:line="300"/>
      </w:pPr>
      <w:r>
        <w:rPr>
          <w:color w:val="13272F"/>
          <w:sz w:val="20"/>
          <w:szCs w:val="20"/>
        </w:rPr>
        <w:t xml:space="preserve">Your answers, recorded, with consequences.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91"/>
        <w:gridCol w:w="1633"/>
        <w:gridCol w:w="1821"/>
        <w:gridCol w:w="5215"/>
      </w:tblGrid>
      <w:tr>
        <w:trPr>
          <w:tblHeader/>
        </w:trPr>
        <w:tc>
          <w:tcPr>
            <w:tcW w:type="dxa" w:w="69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633"/>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1821"/>
            <w:shd w:fill="13272F" w:val="clear"/>
            <w:tcMar>
              <w:top w:type="dxa" w:w="70"/>
              <w:left w:type="dxa" w:w="110"/>
              <w:bottom w:type="dxa" w:w="70"/>
              <w:right w:type="dxa" w:w="110"/>
            </w:tcMar>
          </w:tcPr>
          <w:p>
            <w:pPr>
              <w:spacing w:after="0" w:before="0"/>
            </w:pPr>
            <w:r>
              <w:rPr>
                <w:b/>
                <w:bCs/>
                <w:color w:val="FFFFFF"/>
                <w:sz w:val="17"/>
                <w:szCs w:val="17"/>
              </w:rPr>
              <w:t xml:space="preserve">Your answer</w:t>
            </w:r>
          </w:p>
        </w:tc>
        <w:tc>
          <w:tcPr>
            <w:tcW w:type="dxa" w:w="5215"/>
            <w:shd w:fill="13272F" w:val="clear"/>
            <w:tcMar>
              <w:top w:type="dxa" w:w="70"/>
              <w:left w:type="dxa" w:w="110"/>
              <w:bottom w:type="dxa" w:w="70"/>
              <w:right w:type="dxa" w:w="110"/>
            </w:tcMar>
          </w:tcPr>
          <w:p>
            <w:pPr>
              <w:spacing w:after="0" w:before="0"/>
            </w:pPr>
            <w:r>
              <w:rPr>
                <w:b/>
                <w:bCs/>
                <w:color w:val="FFFFFF"/>
                <w:sz w:val="17"/>
                <w:szCs w:val="17"/>
              </w:rPr>
              <w:t xml:space="preserve">Consequence</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D-1</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Supabase or Neon?</w:t>
            </w:r>
          </w:p>
        </w:tc>
        <w:tc>
          <w:tcPr>
            <w:tcW w:type="dxa" w:w="1821"/>
            <w:shd w:fill="FFFFFF" w:val="clear"/>
            <w:tcMar>
              <w:top w:type="dxa" w:w="70"/>
              <w:left w:type="dxa" w:w="110"/>
              <w:bottom w:type="dxa" w:w="70"/>
              <w:right w:type="dxa" w:w="110"/>
            </w:tcMar>
          </w:tcPr>
          <w:p>
            <w:pPr>
              <w:spacing w:after="0" w:before="0"/>
            </w:pPr>
            <w:r>
              <w:rPr>
                <w:i/>
                <w:iCs/>
                <w:color w:val="13272F"/>
                <w:sz w:val="17"/>
                <w:szCs w:val="17"/>
              </w:rPr>
              <w:t xml:space="preserve">asked for explanation</w:t>
            </w:r>
          </w:p>
        </w:tc>
        <w:tc>
          <w:tcPr>
            <w:tcW w:type="dxa" w:w="5215"/>
            <w:shd w:fill="FFFFFF" w:val="clear"/>
            <w:tcMar>
              <w:top w:type="dxa" w:w="70"/>
              <w:left w:type="dxa" w:w="110"/>
              <w:bottom w:type="dxa" w:w="70"/>
              <w:right w:type="dxa" w:w="110"/>
            </w:tcMar>
          </w:tcPr>
          <w:p>
            <w:pPr>
              <w:spacing w:after="0" w:before="0"/>
            </w:pPr>
            <w:r>
              <w:rPr>
                <w:b/>
                <w:bCs/>
                <w:color w:val="13272F"/>
                <w:sz w:val="17"/>
                <w:szCs w:val="17"/>
              </w:rPr>
              <w:t xml:space="preserve">Supabase only.</w:t>
            </w:r>
            <w:r>
              <w:rPr>
                <w:color w:val="13272F"/>
                <w:sz w:val="17"/>
                <w:szCs w:val="17"/>
              </w:rPr>
              <w:t xml:space="preserve"> Full reasoning §2.</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D-2</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Control arm ethical?</w:t>
            </w:r>
          </w:p>
        </w:tc>
        <w:tc>
          <w:tcPr>
            <w:tcW w:type="dxa" w:w="1821"/>
            <w:shd w:fill="F7FAFB" w:val="clear"/>
            <w:tcMar>
              <w:top w:type="dxa" w:w="70"/>
              <w:left w:type="dxa" w:w="110"/>
              <w:bottom w:type="dxa" w:w="70"/>
              <w:right w:type="dxa" w:w="110"/>
            </w:tcMar>
          </w:tcPr>
          <w:p>
            <w:pPr>
              <w:spacing w:after="0" w:before="0"/>
            </w:pPr>
            <w:r>
              <w:rPr>
                <w:i/>
                <w:iCs/>
                <w:color w:val="13272F"/>
                <w:sz w:val="17"/>
                <w:szCs w:val="17"/>
              </w:rPr>
              <w:t xml:space="preserve">asked what it means</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Explained §10.2. Wait-list design recommended.</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D-3</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Educators see transcripts?</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Never</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Moot under B2C — there are no educators. Support-access policy instead, §4.7.</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D-4</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Case retirement?</w:t>
            </w:r>
          </w:p>
        </w:tc>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None — unlimited</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Accepted, with anti-answer-sharing mitigations that don't require retirement, §4.3.</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D-5</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Institutional or open?</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Not institutional</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Architecture pivots to B2C, §2.3.</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D-6</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Clinical sign-off owner?</w:t>
            </w:r>
          </w:p>
        </w:tc>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Admin — two clinician friends</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Formalised as a review workflow, §4.4.</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D-7</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Open source?</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No — commercial</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Licensing constraints become binding, §9.1.</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D-8</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LLM provider?</w:t>
            </w:r>
          </w:p>
        </w:tc>
        <w:tc>
          <w:tcPr>
            <w:tcW w:type="dxa" w:w="1821"/>
            <w:shd w:fill="F7FAFB" w:val="clear"/>
            <w:tcMar>
              <w:top w:type="dxa" w:w="70"/>
              <w:left w:type="dxa" w:w="110"/>
              <w:bottom w:type="dxa" w:w="70"/>
              <w:right w:type="dxa" w:w="110"/>
            </w:tcMar>
          </w:tcPr>
          <w:p>
            <w:pPr>
              <w:spacing w:after="0" w:before="0"/>
            </w:pPr>
            <w:r>
              <w:rPr>
                <w:i/>
                <w:iCs/>
                <w:color w:val="13272F"/>
                <w:sz w:val="17"/>
                <w:szCs w:val="17"/>
              </w:rPr>
              <w:t xml:space="preserve">asked for detail</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Per-job matrix, §5.</w:t>
            </w:r>
          </w:p>
        </w:tc>
      </w:tr>
    </w:tbl>
    <w:p>
      <w:pPr>
        <w:spacing w:after="160"/>
      </w:pPr>
    </w:p>
    <w:p>
      <w:pPr>
        <w:spacing w:after="120" w:before="60" w:line="300"/>
      </w:pPr>
      <w:r>
        <w:rPr>
          <w:b/>
          <w:bCs/>
          <w:color w:val="13272F"/>
          <w:sz w:val="20"/>
          <w:szCs w:val="20"/>
        </w:rPr>
        <w:t xml:space="preserve">New decisions raised by this document</w:t>
      </w:r>
      <w:r>
        <w:rPr>
          <w:color w:val="13272F"/>
          <w:sz w:val="20"/>
          <w:szCs w:val="20"/>
        </w:rPr>
        <w:t xml:space="preserve"> are collected in §12.</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Database and platform — the Supabase / Neon question</w:t>
      </w:r>
    </w:p>
    <w:p>
      <w:pPr>
        <w:pStyle w:val="Heading2"/>
        <w:spacing w:after="130" w:before="300"/>
      </w:pPr>
      <w:r>
        <w:rPr>
          <w:rFonts w:ascii="Georgia" w:cs="Georgia" w:eastAsia="Georgia" w:hAnsi="Georgia"/>
          <w:b/>
          <w:bCs/>
          <w:color w:val="1F7A8C"/>
          <w:sz w:val="25"/>
          <w:szCs w:val="25"/>
        </w:rPr>
        <w:t xml:space="preserve">2.1 What Neon actually is</w:t>
      </w:r>
    </w:p>
    <w:p>
      <w:pPr>
        <w:spacing w:after="120" w:before="60" w:line="300"/>
      </w:pPr>
      <w:r>
        <w:rPr>
          <w:color w:val="13272F"/>
          <w:sz w:val="20"/>
          <w:szCs w:val="20"/>
        </w:rPr>
        <w:t xml:space="preserve">You said you didn't know what Neon is. Here it is plainly.</w:t>
      </w:r>
    </w:p>
    <w:p>
      <w:pPr>
        <w:spacing w:after="120" w:before="60" w:line="300"/>
      </w:pPr>
      <w:r>
        <w:rPr>
          <w:b/>
          <w:bCs/>
          <w:color w:val="13272F"/>
          <w:sz w:val="20"/>
          <w:szCs w:val="20"/>
        </w:rPr>
        <w:t xml:space="preserve">Neon is PostgreSQL, and nothing else.</w:t>
      </w:r>
      <w:r>
        <w:rPr>
          <w:color w:val="13272F"/>
          <w:sz w:val="20"/>
          <w:szCs w:val="20"/>
        </w:rPr>
        <w:t xml:space="preserve"> It is a hosting company that runs Postgres with an unusual internal design:</w:t>
      </w:r>
    </w:p>
    <w:p>
      <w:pPr>
        <w:pStyle w:val="ListParagraph"/>
        <w:numPr>
          <w:ilvl w:val="0"/>
          <w:numId w:val="1"/>
        </w:numPr>
        <w:spacing w:after="40" w:before="40" w:line="280"/>
      </w:pPr>
      <w:r>
        <w:rPr>
          <w:b/>
          <w:bCs/>
          <w:color w:val="13272F"/>
          <w:sz w:val="20"/>
          <w:szCs w:val="20"/>
        </w:rPr>
        <w:t xml:space="preserve">Storage and compute are separated.</w:t>
      </w:r>
      <w:r>
        <w:rPr>
          <w:color w:val="13272F"/>
          <w:sz w:val="20"/>
          <w:szCs w:val="20"/>
        </w:rPr>
        <w:t xml:space="preserve"> Normal Postgres keeps data on the same machine that runs queries. Neon puts data in cloud object storage and runs the query engine separately.</w:t>
      </w:r>
    </w:p>
    <w:p>
      <w:pPr>
        <w:pStyle w:val="ListParagraph"/>
        <w:numPr>
          <w:ilvl w:val="0"/>
          <w:numId w:val="1"/>
        </w:numPr>
        <w:spacing w:after="40" w:before="40" w:line="280"/>
      </w:pPr>
      <w:r>
        <w:rPr>
          <w:b/>
          <w:bCs/>
          <w:color w:val="13272F"/>
          <w:sz w:val="20"/>
          <w:szCs w:val="20"/>
        </w:rPr>
        <w:t xml:space="preserve">Scale-to-zero.</w:t>
      </w:r>
      <w:r>
        <w:rPr>
          <w:color w:val="13272F"/>
          <w:sz w:val="20"/>
          <w:szCs w:val="20"/>
        </w:rPr>
        <w:t xml:space="preserve"> If nobody queries for 5 minutes, the compute shuts down and you stop paying for it. It wakes on the next connection (a few hundred milliseconds).</w:t>
      </w:r>
    </w:p>
    <w:p>
      <w:pPr>
        <w:pStyle w:val="ListParagraph"/>
        <w:numPr>
          <w:ilvl w:val="0"/>
          <w:numId w:val="1"/>
        </w:numPr>
        <w:spacing w:after="40" w:before="40" w:line="280"/>
      </w:pPr>
      <w:r>
        <w:rPr>
          <w:b/>
          <w:bCs/>
          <w:color w:val="13272F"/>
          <w:sz w:val="20"/>
          <w:szCs w:val="20"/>
        </w:rPr>
        <w:t xml:space="preserve">Database branching.</w:t>
      </w:r>
      <w:r>
        <w:rPr>
          <w:color w:val="13272F"/>
          <w:sz w:val="20"/>
          <w:szCs w:val="20"/>
        </w:rPr>
        <w:t xml:space="preserve"> This is the genuinely distinctive feature. You can create a full copy of your database instantly — not by copying data, but copy-on-write, like a git branch. A 50 GB database branches in about a second and initially costs nothing extra.</w:t>
      </w:r>
    </w:p>
    <w:p>
      <w:pPr>
        <w:spacing w:after="120" w:before="60" w:line="300"/>
      </w:pPr>
      <w:r>
        <w:rPr>
          <w:color w:val="13272F"/>
          <w:sz w:val="20"/>
          <w:szCs w:val="20"/>
        </w:rPr>
        <w:t xml:space="preserve">Branching is useful for one specific thing: </w:t>
      </w:r>
      <w:r>
        <w:rPr>
          <w:b/>
          <w:bCs/>
          <w:color w:val="13272F"/>
          <w:sz w:val="20"/>
          <w:szCs w:val="20"/>
        </w:rPr>
        <w:t xml:space="preserve">every pull request gets its own real database with real data shape</w:t>
      </w:r>
      <w:r>
        <w:rPr>
          <w:color w:val="13272F"/>
          <w:sz w:val="20"/>
          <w:szCs w:val="20"/>
        </w:rPr>
        <w:t xml:space="preserve">, so migrations are tested against something realistic before they touch production.</w:t>
      </w:r>
    </w:p>
    <w:p>
      <w:pPr>
        <w:spacing w:after="120" w:before="60" w:line="300"/>
      </w:pPr>
      <w:r>
        <w:rPr>
          <w:color w:val="13272F"/>
          <w:sz w:val="20"/>
          <w:szCs w:val="20"/>
        </w:rPr>
        <w:t xml:space="preserve">What Neon does </w:t>
      </w:r>
      <w:r>
        <w:rPr>
          <w:b/>
          <w:bCs/>
          <w:color w:val="13272F"/>
          <w:sz w:val="20"/>
          <w:szCs w:val="20"/>
        </w:rPr>
        <w:t xml:space="preserve">not</w:t>
      </w:r>
      <w:r>
        <w:rPr>
          <w:color w:val="13272F"/>
          <w:sz w:val="20"/>
          <w:szCs w:val="20"/>
        </w:rPr>
        <w:t xml:space="preserve"> give you: authentication, file storage, APIs, realtime, a dashboard for non-developers. It is a database, full stop.</w:t>
      </w:r>
    </w:p>
    <w:p>
      <w:pPr>
        <w:pStyle w:val="Heading2"/>
        <w:spacing w:after="130" w:before="300"/>
      </w:pPr>
      <w:r>
        <w:rPr>
          <w:rFonts w:ascii="Georgia" w:cs="Georgia" w:eastAsia="Georgia" w:hAnsi="Georgia"/>
          <w:b/>
          <w:bCs/>
          <w:color w:val="1F7A8C"/>
          <w:sz w:val="25"/>
          <w:szCs w:val="25"/>
        </w:rPr>
        <w:t xml:space="preserve">2.2 What Supabase is</w:t>
      </w:r>
    </w:p>
    <w:p>
      <w:pPr>
        <w:spacing w:after="120" w:before="60" w:line="300"/>
      </w:pPr>
      <w:r>
        <w:rPr>
          <w:b/>
          <w:bCs/>
          <w:color w:val="13272F"/>
          <w:sz w:val="20"/>
          <w:szCs w:val="20"/>
        </w:rPr>
        <w:t xml:space="preserve">Supabase is PostgreSQL plus a platform built around it.</w:t>
      </w:r>
      <w:r>
        <w:rPr>
          <w:color w:val="13272F"/>
          <w:sz w:val="20"/>
          <w:szCs w:val="20"/>
        </w:rPr>
        <w:t xml:space="preserve"> The database underneath is ordinary Postgres — you can connect with </w:t>
      </w:r>
      <w:r>
        <w:rPr>
          <w:rFonts w:ascii="Consolas" w:cs="Consolas" w:eastAsia="Consolas" w:hAnsi="Consolas"/>
          <w:color w:val="B3651F"/>
          <w:sz w:val="18"/>
          <w:szCs w:val="18"/>
        </w:rPr>
        <w:t xml:space="preserve">psql</w:t>
      </w:r>
      <w:r>
        <w:rPr>
          <w:color w:val="13272F"/>
          <w:sz w:val="20"/>
          <w:szCs w:val="20"/>
        </w:rPr>
        <w:t xml:space="preserve">, run any SQL, use any extension including </w:t>
      </w:r>
      <w:r>
        <w:rPr>
          <w:rFonts w:ascii="Consolas" w:cs="Consolas" w:eastAsia="Consolas" w:hAnsi="Consolas"/>
          <w:color w:val="B3651F"/>
          <w:sz w:val="18"/>
          <w:szCs w:val="18"/>
        </w:rPr>
        <w:t xml:space="preserve">pgvector</w:t>
      </w:r>
      <w:r>
        <w:rPr>
          <w:color w:val="13272F"/>
          <w:sz w:val="20"/>
          <w:szCs w:val="20"/>
        </w:rPr>
        <w:t xml:space="preserve">.</w:t>
      </w:r>
    </w:p>
    <w:p>
      <w:pPr>
        <w:spacing w:after="120" w:before="60" w:line="300"/>
      </w:pPr>
      <w:r>
        <w:rPr>
          <w:color w:val="13272F"/>
          <w:sz w:val="20"/>
          <w:szCs w:val="20"/>
        </w:rPr>
        <w:t xml:space="preserve">On top, it provides: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1"/>
        <w:gridCol w:w="5554"/>
        <w:gridCol w:w="2855"/>
      </w:tblGrid>
      <w:tr>
        <w:trPr>
          <w:tblHeader/>
        </w:trPr>
        <w:tc>
          <w:tcPr>
            <w:tcW w:type="dxa" w:w="951"/>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5554"/>
            <w:shd w:fill="13272F" w:val="clear"/>
            <w:tcMar>
              <w:top w:type="dxa" w:w="70"/>
              <w:left w:type="dxa" w:w="110"/>
              <w:bottom w:type="dxa" w:w="70"/>
              <w:right w:type="dxa" w:w="110"/>
            </w:tcMar>
          </w:tcPr>
          <w:p>
            <w:pPr>
              <w:spacing w:after="0" w:before="0"/>
            </w:pPr>
            <w:r>
              <w:rPr>
                <w:b/>
                <w:bCs/>
                <w:color w:val="FFFFFF"/>
                <w:sz w:val="17"/>
                <w:szCs w:val="17"/>
              </w:rPr>
              <w:t xml:space="preserve">What it gives you</w:t>
            </w:r>
          </w:p>
        </w:tc>
        <w:tc>
          <w:tcPr>
            <w:tcW w:type="dxa" w:w="2855"/>
            <w:shd w:fill="13272F" w:val="clear"/>
            <w:tcMar>
              <w:top w:type="dxa" w:w="70"/>
              <w:left w:type="dxa" w:w="110"/>
              <w:bottom w:type="dxa" w:w="70"/>
              <w:right w:type="dxa" w:w="110"/>
            </w:tcMar>
          </w:tcPr>
          <w:p>
            <w:pPr>
              <w:spacing w:after="0" w:before="0"/>
            </w:pPr>
            <w:r>
              <w:rPr>
                <w:b/>
                <w:bCs/>
                <w:color w:val="FFFFFF"/>
                <w:sz w:val="17"/>
                <w:szCs w:val="17"/>
              </w:rPr>
              <w:t xml:space="preserve">Do you need it?</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Auth</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Email/password, magic link, Google, Apple, GitHub OAuth; JWT issuance; password reset; email verification</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§3</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Storage</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S3-compatible object storage with access policies</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Yes, later</w:t>
            </w:r>
            <w:r>
              <w:rPr>
                <w:color w:val="13272F"/>
                <w:sz w:val="17"/>
                <w:szCs w:val="17"/>
              </w:rPr>
              <w:t xml:space="preserve"> — case images, avatars, exports</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Auto REST API</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PostgREST generates REST endpoints from your schema</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you will write your own API. Harmless; ignore it.</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Realtime</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Subscribe to database changes over websockets</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not needed</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Edge Functions</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Deno serverless functions</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your logic lives in the Python app</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Dashboard</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SQL editor, table browser, log viewer, user management</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genuinely useful, especially early</w:t>
            </w:r>
          </w:p>
        </w:tc>
      </w:tr>
    </w:tbl>
    <w:p>
      <w:pPr>
        <w:spacing w:after="160"/>
      </w:pPr>
    </w:p>
    <w:p>
      <w:pPr>
        <w:spacing w:after="120" w:before="60" w:line="300"/>
      </w:pPr>
      <w:r>
        <w:rPr>
          <w:b/>
          <w:bCs/>
          <w:color w:val="13272F"/>
          <w:sz w:val="20"/>
          <w:szCs w:val="20"/>
        </w:rPr>
        <w:t xml:space="preserve">Critical property:</w:t>
      </w:r>
      <w:r>
        <w:rPr>
          <w:color w:val="13272F"/>
          <w:sz w:val="20"/>
          <w:szCs w:val="20"/>
        </w:rPr>
        <w:t xml:space="preserve"> Supabase Auth stores its users in a normal </w:t>
      </w:r>
      <w:r>
        <w:rPr>
          <w:rFonts w:ascii="Consolas" w:cs="Consolas" w:eastAsia="Consolas" w:hAnsi="Consolas"/>
          <w:color w:val="B3651F"/>
          <w:sz w:val="18"/>
          <w:szCs w:val="18"/>
        </w:rPr>
        <w:t xml:space="preserve">auth.users</w:t>
      </w:r>
      <w:r>
        <w:rPr>
          <w:color w:val="13272F"/>
          <w:sz w:val="20"/>
          <w:szCs w:val="20"/>
        </w:rPr>
        <w:t xml:space="preserve"> table </w:t>
      </w:r>
      <w:r>
        <w:rPr>
          <w:b/>
          <w:bCs/>
          <w:color w:val="13272F"/>
          <w:sz w:val="20"/>
          <w:szCs w:val="20"/>
        </w:rPr>
        <w:t xml:space="preserve">inside your own Postgres database</w:t>
      </w:r>
      <w:r>
        <w:rPr>
          <w:color w:val="13272F"/>
          <w:sz w:val="20"/>
          <w:szCs w:val="20"/>
        </w:rPr>
        <w:t xml:space="preserve">. Your application tables can reference it with a real foreign key. You are not calling an external identity service and hoping it stays up — the user rows are yours, in your database, and you can </w:t>
      </w:r>
      <w:r>
        <w:rPr>
          <w:rFonts w:ascii="Consolas" w:cs="Consolas" w:eastAsia="Consolas" w:hAnsi="Consolas"/>
          <w:color w:val="B3651F"/>
          <w:sz w:val="18"/>
          <w:szCs w:val="18"/>
        </w:rPr>
        <w:t xml:space="preserve">SELECT</w:t>
      </w:r>
      <w:r>
        <w:rPr>
          <w:color w:val="13272F"/>
          <w:sz w:val="20"/>
          <w:szCs w:val="20"/>
        </w:rPr>
        <w:t xml:space="preserve"> them.</w:t>
      </w:r>
    </w:p>
    <w:p>
      <w:pPr>
        <w:spacing w:after="120" w:before="60" w:line="300"/>
      </w:pPr>
      <w:r>
        <w:rPr>
          <w:color w:val="13272F"/>
          <w:sz w:val="20"/>
          <w:szCs w:val="20"/>
        </w:rPr>
        <w:t xml:space="preserve">That single fact removes most of the lock-in objection to a hosted auth provider.</w:t>
      </w:r>
    </w:p>
    <w:p>
      <w:pPr>
        <w:pStyle w:val="Heading2"/>
        <w:spacing w:after="130" w:before="300"/>
      </w:pPr>
      <w:r>
        <w:rPr>
          <w:rFonts w:ascii="Georgia" w:cs="Georgia" w:eastAsia="Georgia" w:hAnsi="Georgia"/>
          <w:b/>
          <w:bCs/>
          <w:color w:val="1F7A8C"/>
          <w:sz w:val="25"/>
          <w:szCs w:val="25"/>
        </w:rPr>
        <w:t xml:space="preserve">2.3 The decision</w:t>
      </w:r>
    </w:p>
    <w:p>
      <w:pPr>
        <w:pStyle w:val="Heading3"/>
        <w:spacing w:after="100" w:before="220"/>
      </w:pPr>
      <w:r>
        <w:rPr>
          <w:rFonts w:ascii="Georgia" w:cs="Georgia" w:eastAsia="Georgia" w:hAnsi="Georgia"/>
          <w:b/>
          <w:bCs/>
          <w:color w:val="13272F"/>
          <w:sz w:val="22"/>
          <w:szCs w:val="22"/>
        </w:rPr>
        <w:t xml:space="preserve">**Use Supabase. Only Supabase. Do not use both.**</w:t>
      </w:r>
    </w:p>
    <w:p>
      <w:pPr>
        <w:spacing w:after="120" w:before="60" w:line="300"/>
      </w:pPr>
      <w:r>
        <w:rPr>
          <w:color w:val="13272F"/>
          <w:sz w:val="20"/>
          <w:szCs w:val="20"/>
        </w:rPr>
        <w:t xml:space="preserve">The reason is not preference — it is that </w:t>
      </w:r>
      <w:r>
        <w:rPr>
          <w:b/>
          <w:bCs/>
          <w:color w:val="13272F"/>
          <w:sz w:val="20"/>
          <w:szCs w:val="20"/>
        </w:rPr>
        <w:t xml:space="preserve">using both is actively broken</w:t>
      </w:r>
      <w:r>
        <w:rPr>
          <w:color w:val="13272F"/>
          <w:sz w:val="20"/>
          <w:szCs w:val="20"/>
        </w:rPr>
        <w:t xml:space="preserve">.</w:t>
      </w:r>
    </w:p>
    <w:p>
      <w:pPr>
        <w:spacing w:after="120" w:before="60" w:line="300"/>
      </w:pPr>
      <w:r>
        <w:rPr>
          <w:color w:val="13272F"/>
          <w:sz w:val="20"/>
          <w:szCs w:val="20"/>
        </w:rPr>
        <w:t xml:space="preserve">If users lived in Supabase and sessions lived in Neon, they would be in two separate Postgres instances. You could not write:</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SELECT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research_pid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coverage_pct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JOIN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JOIN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session_results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session_id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p>
    <w:p>
      <w:pPr>
        <w:pBdr>
          <w:left w:val="single" w:color="1F7A8C" w:sz="12" w:space="8"/>
        </w:pBdr>
        <w:shd w:fill="F4F7F8" w:val="clear"/>
        <w:spacing w:after="140" w:before="0" w:line="240"/>
        <w:ind w:left="200" w:right="200"/>
      </w:pPr>
      <w:r>
        <w:rPr>
          <w:rFonts w:ascii="Consolas" w:cs="Consolas" w:eastAsia="Consolas" w:hAnsi="Consolas"/>
          <w:b/>
          <w:bCs/>
          <w:color w:val="0B5FA5"/>
          <w:sz w:val="16"/>
          <w:szCs w:val="16"/>
        </w:rPr>
        <w:t xml:space="preserve">WHERE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 </w:t>
      </w:r>
      <w:r>
        <w:rPr>
          <w:rFonts w:ascii="Consolas" w:cs="Consolas" w:eastAsia="Consolas" w:hAnsi="Consolas"/>
          <w:color w:val="A31515"/>
          <w:sz w:val="16"/>
          <w:szCs w:val="16"/>
        </w:rPr>
        <w:t xml:space="preserve">'pro'</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No foreign keys across the boundary. No transactional consistency. Every join done in application code. You would be hand-building the worst parts of a distributed database to gain nothing.</w:t>
      </w:r>
    </w:p>
    <w:p>
      <w:pPr>
        <w:spacing w:after="120" w:before="60" w:line="300"/>
      </w:pPr>
      <w:r>
        <w:rPr>
          <w:b/>
          <w:bCs/>
          <w:color w:val="13272F"/>
          <w:sz w:val="20"/>
          <w:szCs w:val="20"/>
        </w:rPr>
        <w:t xml:space="preserve">One database. One provider.</w:t>
      </w:r>
    </w:p>
    <w:p>
      <w:pPr>
        <w:pStyle w:val="Heading3"/>
        <w:spacing w:after="100" w:before="220"/>
      </w:pPr>
      <w:r>
        <w:rPr>
          <w:rFonts w:ascii="Georgia" w:cs="Georgia" w:eastAsia="Georgia" w:hAnsi="Georgia"/>
          <w:b/>
          <w:bCs/>
          <w:color w:val="13272F"/>
          <w:sz w:val="22"/>
          <w:szCs w:val="22"/>
        </w:rPr>
        <w:t xml:space="preserve">Why Supabase over Neon specifically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365"/>
        <w:gridCol w:w="4424"/>
        <w:gridCol w:w="2571"/>
      </w:tblGrid>
      <w:tr>
        <w:trPr>
          <w:tblHeader/>
        </w:trPr>
        <w:tc>
          <w:tcPr>
            <w:tcW w:type="dxa" w:w="2365"/>
            <w:shd w:fill="13272F" w:val="clear"/>
            <w:tcMar>
              <w:top w:type="dxa" w:w="70"/>
              <w:left w:type="dxa" w:w="110"/>
              <w:bottom w:type="dxa" w:w="70"/>
              <w:right w:type="dxa" w:w="110"/>
            </w:tcMar>
          </w:tcPr>
          <w:p>
            <w:pPr>
              <w:spacing w:after="0" w:before="0"/>
            </w:pPr>
            <w:r>
              <w:rPr>
                <w:b/>
                <w:bCs/>
                <w:color w:val="FFFFFF"/>
                <w:sz w:val="17"/>
                <w:szCs w:val="17"/>
              </w:rPr>
              <w:t xml:space="preserve">Requirement</w:t>
            </w:r>
          </w:p>
        </w:tc>
        <w:tc>
          <w:tcPr>
            <w:tcW w:type="dxa" w:w="4424"/>
            <w:shd w:fill="13272F" w:val="clear"/>
            <w:tcMar>
              <w:top w:type="dxa" w:w="70"/>
              <w:left w:type="dxa" w:w="110"/>
              <w:bottom w:type="dxa" w:w="70"/>
              <w:right w:type="dxa" w:w="110"/>
            </w:tcMar>
          </w:tcPr>
          <w:p>
            <w:pPr>
              <w:spacing w:after="0" w:before="0"/>
            </w:pPr>
            <w:r>
              <w:rPr>
                <w:b/>
                <w:bCs/>
                <w:color w:val="FFFFFF"/>
                <w:sz w:val="17"/>
                <w:szCs w:val="17"/>
              </w:rPr>
              <w:t xml:space="preserve">Supabase</w:t>
            </w:r>
          </w:p>
        </w:tc>
        <w:tc>
          <w:tcPr>
            <w:tcW w:type="dxa" w:w="2571"/>
            <w:shd w:fill="13272F" w:val="clear"/>
            <w:tcMar>
              <w:top w:type="dxa" w:w="70"/>
              <w:left w:type="dxa" w:w="110"/>
              <w:bottom w:type="dxa" w:w="70"/>
              <w:right w:type="dxa" w:w="110"/>
            </w:tcMar>
          </w:tcPr>
          <w:p>
            <w:pPr>
              <w:spacing w:after="0" w:before="0"/>
            </w:pPr>
            <w:r>
              <w:rPr>
                <w:b/>
                <w:bCs/>
                <w:color w:val="FFFFFF"/>
                <w:sz w:val="17"/>
                <w:szCs w:val="17"/>
              </w:rPr>
              <w:t xml:space="preserve">Neon</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Postgres + pgvector</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Authentication</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Built in</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Build or buy separately</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File storage</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 Built in</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 Separate (S3/R2)</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Non-developer dashboard</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Good</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Basic</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DB branching for CI</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 Preview branches (newer, less mature)</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 Best in class</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Scale-to-zero cost</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Free tier pauses after inactivity</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Genuine scale-to-zero</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Free tier</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500 MB DB, 50 000 monthly active auth users</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0.5 GB, generous compute</w:t>
            </w:r>
          </w:p>
        </w:tc>
      </w:tr>
    </w:tbl>
    <w:p>
      <w:pPr>
        <w:spacing w:after="160"/>
      </w:pPr>
    </w:p>
    <w:p>
      <w:pPr>
        <w:spacing w:after="120" w:before="60" w:line="300"/>
      </w:pPr>
      <w:r>
        <w:rPr>
          <w:color w:val="13272F"/>
          <w:sz w:val="20"/>
          <w:szCs w:val="20"/>
        </w:rPr>
        <w:t xml:space="preserve">You need auth. You will need storage. You do not need branching enough to justify running two providers and building auth yourself. </w:t>
      </w:r>
      <w:r>
        <w:rPr>
          <w:b/>
          <w:bCs/>
          <w:color w:val="13272F"/>
          <w:sz w:val="20"/>
          <w:szCs w:val="20"/>
        </w:rPr>
        <w:t xml:space="preserve">Supabase wins on the requirements that actually bind.</w:t>
      </w:r>
    </w:p>
    <w:p>
      <w:pPr>
        <w:pBdr>
          <w:left w:val="single" w:color="B3651F" w:sz="16" w:space="10"/>
        </w:pBdr>
        <w:shd w:fill="FFF6E8" w:val="clear"/>
        <w:spacing w:after="160" w:before="140" w:line="300"/>
        <w:ind w:left="260" w:right="200"/>
      </w:pPr>
      <w:r>
        <w:rPr>
          <w:color w:val="13272F"/>
          <w:sz w:val="20"/>
          <w:szCs w:val="20"/>
        </w:rPr>
        <w:t xml:space="preserve">If you later find you need Neon's branching badly, you can migrate — it is Postgres to Postgres, </w:t>
      </w:r>
      <w:r>
        <w:rPr>
          <w:rFonts w:ascii="Consolas" w:cs="Consolas" w:eastAsia="Consolas" w:hAnsi="Consolas"/>
          <w:color w:val="B3651F"/>
          <w:sz w:val="18"/>
          <w:szCs w:val="18"/>
        </w:rPr>
        <w:t xml:space="preserve">pg_dump</w:t>
      </w:r>
      <w:r>
        <w:rPr>
          <w:color w:val="13272F"/>
          <w:sz w:val="20"/>
          <w:szCs w:val="20"/>
        </w:rPr>
        <w:t xml:space="preserve"> and restore. Not free, but not a rewrite.</w:t>
      </w:r>
    </w:p>
    <w:p>
      <w:pPr>
        <w:pStyle w:val="Heading2"/>
        <w:spacing w:after="130" w:before="300"/>
      </w:pPr>
      <w:r>
        <w:rPr>
          <w:rFonts w:ascii="Georgia" w:cs="Georgia" w:eastAsia="Georgia" w:hAnsi="Georgia"/>
          <w:b/>
          <w:bCs/>
          <w:color w:val="1F7A8C"/>
          <w:sz w:val="25"/>
          <w:szCs w:val="25"/>
        </w:rPr>
        <w:t xml:space="preserve">2.4 Your internship question — why did that company have multiple databases?</w:t>
      </w:r>
    </w:p>
    <w:p>
      <w:pPr>
        <w:spacing w:after="120" w:before="60" w:line="300"/>
      </w:pPr>
      <w:r>
        <w:rPr>
          <w:color w:val="13272F"/>
          <w:sz w:val="20"/>
          <w:szCs w:val="20"/>
        </w:rPr>
        <w:t xml:space="preserve">You saw a SaaS system with several databases and a separate data centre for incoming data, and asked whether you need that. </w:t>
      </w:r>
      <w:r>
        <w:rPr>
          <w:b/>
          <w:bCs/>
          <w:color w:val="13272F"/>
          <w:sz w:val="20"/>
          <w:szCs w:val="20"/>
        </w:rPr>
        <w:t xml:space="preserve">You do not.</w:t>
      </w:r>
      <w:r>
        <w:rPr>
          <w:color w:val="13272F"/>
          <w:sz w:val="20"/>
          <w:szCs w:val="20"/>
        </w:rPr>
        <w:t xml:space="preserve"> Here is when companies actually do that, so you can recognise the moment if it arrives.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6"/>
        <w:gridCol w:w="4594"/>
        <w:gridCol w:w="3830"/>
      </w:tblGrid>
      <w:tr>
        <w:trPr>
          <w:tblHeader/>
        </w:trPr>
        <w:tc>
          <w:tcPr>
            <w:tcW w:type="dxa" w:w="936"/>
            <w:shd w:fill="13272F" w:val="clear"/>
            <w:tcMar>
              <w:top w:type="dxa" w:w="70"/>
              <w:left w:type="dxa" w:w="110"/>
              <w:bottom w:type="dxa" w:w="70"/>
              <w:right w:type="dxa" w:w="110"/>
            </w:tcMar>
          </w:tcPr>
          <w:p>
            <w:pPr>
              <w:spacing w:after="0" w:before="0"/>
            </w:pPr>
            <w:r>
              <w:rPr>
                <w:b/>
                <w:bCs/>
                <w:color w:val="FFFFFF"/>
                <w:sz w:val="17"/>
                <w:szCs w:val="17"/>
              </w:rPr>
              <w:t xml:space="preserve">Pattern</w:t>
            </w:r>
          </w:p>
        </w:tc>
        <w:tc>
          <w:tcPr>
            <w:tcW w:type="dxa" w:w="4594"/>
            <w:shd w:fill="13272F" w:val="clear"/>
            <w:tcMar>
              <w:top w:type="dxa" w:w="70"/>
              <w:left w:type="dxa" w:w="110"/>
              <w:bottom w:type="dxa" w:w="70"/>
              <w:right w:type="dxa" w:w="110"/>
            </w:tcMar>
          </w:tcPr>
          <w:p>
            <w:pPr>
              <w:spacing w:after="0" w:before="0"/>
            </w:pPr>
            <w:r>
              <w:rPr>
                <w:b/>
                <w:bCs/>
                <w:color w:val="FFFFFF"/>
                <w:sz w:val="17"/>
                <w:szCs w:val="17"/>
              </w:rPr>
              <w:t xml:space="preserve">Why it exists</w:t>
            </w:r>
          </w:p>
        </w:tc>
        <w:tc>
          <w:tcPr>
            <w:tcW w:type="dxa" w:w="3830"/>
            <w:shd w:fill="13272F" w:val="clear"/>
            <w:tcMar>
              <w:top w:type="dxa" w:w="70"/>
              <w:left w:type="dxa" w:w="110"/>
              <w:bottom w:type="dxa" w:w="70"/>
              <w:right w:type="dxa" w:w="110"/>
            </w:tcMar>
          </w:tcPr>
          <w:p>
            <w:pPr>
              <w:spacing w:after="0" w:before="0"/>
            </w:pPr>
            <w:r>
              <w:rPr>
                <w:b/>
                <w:bCs/>
                <w:color w:val="FFFFFF"/>
                <w:sz w:val="17"/>
                <w:szCs w:val="17"/>
              </w:rPr>
              <w:t xml:space="preserve">When you'd need it</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Separate OLTP and OLAP</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Analytical queries (</w:t>
            </w:r>
            <w:r>
              <w:rPr>
                <w:rFonts w:ascii="Consolas" w:cs="Consolas" w:eastAsia="Consolas" w:hAnsi="Consolas"/>
                <w:color w:val="B3651F"/>
                <w:sz w:val="15"/>
                <w:szCs w:val="15"/>
              </w:rPr>
              <w:t xml:space="preserve">GROUP BY</w:t>
            </w:r>
            <w:r>
              <w:rPr>
                <w:color w:val="13272F"/>
                <w:sz w:val="17"/>
                <w:szCs w:val="17"/>
              </w:rPr>
              <w:t xml:space="preserve"> over millions of rows) lock and slow the tables serving live traffic. Companies keep a transactional Postgres and copy into a warehouse (BigQuery, Snowflake, ClickHouse).</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When analytics queries measurably slow the app. </w:t>
            </w:r>
            <w:r>
              <w:rPr>
                <w:b/>
                <w:bCs/>
                <w:color w:val="13272F"/>
                <w:sz w:val="17"/>
                <w:szCs w:val="17"/>
              </w:rPr>
              <w:t xml:space="preserve">First fix is a read replica, not a warehouse.</w:t>
            </w:r>
            <w:r>
              <w:rPr>
                <w:color w:val="13272F"/>
                <w:sz w:val="17"/>
                <w:szCs w:val="17"/>
              </w:rPr>
              <w:t xml:space="preserve"> Realistically past ~10⁶ sessions.</w:t>
            </w:r>
          </w:p>
        </w:tc>
      </w:tr>
      <w:tr>
        <w:trPr>
          <w:tblHeader w:val="false"/>
        </w:trPr>
        <w:tc>
          <w:tcPr>
            <w:tcW w:type="dxa" w:w="936"/>
            <w:shd w:fill="F7FAFB" w:val="clear"/>
            <w:tcMar>
              <w:top w:type="dxa" w:w="70"/>
              <w:left w:type="dxa" w:w="110"/>
              <w:bottom w:type="dxa" w:w="70"/>
              <w:right w:type="dxa" w:w="110"/>
            </w:tcMar>
          </w:tcPr>
          <w:p>
            <w:pPr>
              <w:spacing w:after="0" w:before="0"/>
            </w:pPr>
            <w:r>
              <w:rPr>
                <w:b/>
                <w:bCs/>
                <w:color w:val="13272F"/>
                <w:sz w:val="17"/>
                <w:szCs w:val="17"/>
              </w:rPr>
              <w:t xml:space="preserve">Database-per-tenant</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Hard isolation for enterprise customers who contractually require their data be physically separate.</w:t>
            </w:r>
          </w:p>
        </w:tc>
        <w:tc>
          <w:tcPr>
            <w:tcW w:type="dxa" w:w="3830"/>
            <w:shd w:fill="F7FAFB" w:val="clear"/>
            <w:tcMar>
              <w:top w:type="dxa" w:w="70"/>
              <w:left w:type="dxa" w:w="110"/>
              <w:bottom w:type="dxa" w:w="70"/>
              <w:right w:type="dxa" w:w="110"/>
            </w:tcMar>
          </w:tcPr>
          <w:p>
            <w:pPr>
              <w:spacing w:after="0" w:before="0"/>
            </w:pPr>
            <w:r>
              <w:rPr>
                <w:color w:val="13272F"/>
                <w:sz w:val="17"/>
                <w:szCs w:val="17"/>
              </w:rPr>
              <w:t xml:space="preserve">Only if you sell to institutions with that clause. You are B2C — never.</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Data residency</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GDPR-style rules requiring EU data stay in the EU.</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If you get EU users and choose to guarantee residency. A single EU region satisfies this; multiple DBs only if you serve several jurisdictions with conflicting rules.</w:t>
            </w:r>
          </w:p>
        </w:tc>
      </w:tr>
      <w:tr>
        <w:trPr>
          <w:tblHeader w:val="false"/>
        </w:trPr>
        <w:tc>
          <w:tcPr>
            <w:tcW w:type="dxa" w:w="936"/>
            <w:shd w:fill="F7FAFB" w:val="clear"/>
            <w:tcMar>
              <w:top w:type="dxa" w:w="70"/>
              <w:left w:type="dxa" w:w="110"/>
              <w:bottom w:type="dxa" w:w="70"/>
              <w:right w:type="dxa" w:w="110"/>
            </w:tcMar>
          </w:tcPr>
          <w:p>
            <w:pPr>
              <w:spacing w:after="0" w:before="0"/>
            </w:pPr>
            <w:r>
              <w:rPr>
                <w:b/>
                <w:bCs/>
                <w:color w:val="13272F"/>
                <w:sz w:val="17"/>
                <w:szCs w:val="17"/>
              </w:rPr>
              <w:t xml:space="preserve">Separate ingestion store</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High-volume event streams (clickstream, telemetry) written to a store optimised for writes, then batched into the main DB.</w:t>
            </w:r>
          </w:p>
        </w:tc>
        <w:tc>
          <w:tcPr>
            <w:tcW w:type="dxa" w:w="3830"/>
            <w:shd w:fill="F7FAFB" w:val="clear"/>
            <w:tcMar>
              <w:top w:type="dxa" w:w="70"/>
              <w:left w:type="dxa" w:w="110"/>
              <w:bottom w:type="dxa" w:w="70"/>
              <w:right w:type="dxa" w:w="110"/>
            </w:tcMar>
          </w:tcPr>
          <w:p>
            <w:pPr>
              <w:spacing w:after="0" w:before="0"/>
            </w:pPr>
            <w:r>
              <w:rPr>
                <w:color w:val="13272F"/>
                <w:sz w:val="17"/>
                <w:szCs w:val="17"/>
              </w:rPr>
              <w:t xml:space="preserve">Your event volume is ~20 rows per consultation. Postgres handles millions. Not applicable.</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Microservice-per-database</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Each service owns its data; no cross-service joins.</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You have one service. Not applicable.</w:t>
            </w:r>
          </w:p>
        </w:tc>
      </w:tr>
    </w:tbl>
    <w:p>
      <w:pPr>
        <w:spacing w:after="160"/>
      </w:pPr>
    </w:p>
    <w:p>
      <w:pPr>
        <w:spacing w:after="120" w:before="60" w:line="300"/>
      </w:pPr>
      <w:r>
        <w:rPr>
          <w:b/>
          <w:bCs/>
          <w:color w:val="13272F"/>
          <w:sz w:val="20"/>
          <w:szCs w:val="20"/>
        </w:rPr>
        <w:t xml:space="preserve">Your growth path, in order: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1  Single Supabase Postgres                     ← you are here, and will be for a long time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2  + read replica for analytics                  ~10⁵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3  + object storage for large exports            when exports get big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4  + warehouse (ClickHouse / BigQuery)           ~10⁶ events, or when BI needs it</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5  Anything more exotic                          only with a measured problem</w:t>
      </w:r>
    </w:p>
    <w:p>
      <w:pPr>
        <w:spacing w:after="120" w:before="60" w:line="300"/>
      </w:pPr>
      <w:r>
        <w:rPr>
          <w:b/>
          <w:bCs/>
          <w:color w:val="13272F"/>
          <w:sz w:val="20"/>
          <w:szCs w:val="20"/>
        </w:rPr>
        <w:t xml:space="preserve">Do not build step 4 at step 1.</w:t>
      </w:r>
      <w:r>
        <w:rPr>
          <w:color w:val="13272F"/>
          <w:sz w:val="20"/>
          <w:szCs w:val="20"/>
        </w:rPr>
        <w:t xml:space="preserve"> That is the single most common architectural mistake at this stage, and it is expensive: you pay complexity every day for a scale problem you may never have.</w:t>
      </w:r>
    </w:p>
    <w:p>
      <w:pPr>
        <w:pStyle w:val="Heading2"/>
        <w:spacing w:after="130" w:before="300"/>
      </w:pPr>
      <w:r>
        <w:rPr>
          <w:rFonts w:ascii="Georgia" w:cs="Georgia" w:eastAsia="Georgia" w:hAnsi="Georgia"/>
          <w:b/>
          <w:bCs/>
          <w:color w:val="1F7A8C"/>
          <w:sz w:val="25"/>
          <w:szCs w:val="25"/>
        </w:rPr>
        <w:t xml:space="preserve">2.5 Revised data model for B2C</w:t>
      </w:r>
    </w:p>
    <w:p>
      <w:pPr>
        <w:spacing w:after="120" w:before="60" w:line="300"/>
      </w:pPr>
      <w:r>
        <w:rPr>
          <w:color w:val="13272F"/>
          <w:sz w:val="20"/>
          <w:szCs w:val="20"/>
        </w:rPr>
        <w:t xml:space="preserve">v1's </w:t>
      </w:r>
      <w:r>
        <w:rPr>
          <w:rFonts w:ascii="Consolas" w:cs="Consolas" w:eastAsia="Consolas" w:hAnsi="Consolas"/>
          <w:color w:val="B3651F"/>
          <w:sz w:val="18"/>
          <w:szCs w:val="18"/>
        </w:rPr>
        <w:t xml:space="preserve">institutions → cohorts → students</w:t>
      </w:r>
      <w:r>
        <w:rPr>
          <w:color w:val="13272F"/>
          <w:sz w:val="20"/>
          <w:szCs w:val="20"/>
        </w:rPr>
        <w:t xml:space="preserve"> hierarchy goes away as the primary structure. It is replaced by individual accounts with subscriptions.</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Supabase provides auth.users (id, email, encrypted_password, confirmed_at,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Our profile table extends it 1:1.</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TYPE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ENUM</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'pro'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'lifetime'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TYPE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ENUM</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'medical_student'</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'intern'</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'resident'</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'physician'</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'nurse'</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'pa'</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'other'</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auth</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users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display_name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year_of_training</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SMALLINT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country</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specialty_interest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Stable pseudonymous id used in all analytics and research exports.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research_pid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UNIQUE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'U'</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substr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text</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8</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subscription_ends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onboarded_at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last_active_at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consent_research</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BOOLEAN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false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consent_version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created_at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deleted_at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Sessions now belong to a person, not a cohort.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ALTER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DROP</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cohort_id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ADD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practice_mode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'free_practice'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'free_practice' | 'guided_track' | 'research_study'</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Optional institutional layer, kept nullable so B2B remains possible later</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without a migration. Costs one column today; saves weeks if you ever sell</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to a university.</w:t>
      </w:r>
    </w:p>
    <w:p>
      <w:pPr>
        <w:pBdr>
          <w:left w:val="single" w:color="1F7A8C" w:sz="12" w:space="8"/>
        </w:pBdr>
        <w:shd w:fill="F4F7F8" w:val="clear"/>
        <w:spacing w:after="140" w:before="0" w:line="240"/>
        <w:ind w:left="200" w:right="200"/>
      </w:pPr>
      <w:r>
        <w:rPr>
          <w:rFonts w:ascii="Consolas" w:cs="Consolas" w:eastAsia="Consolas" w:hAnsi="Consolas"/>
          <w:b/>
          <w:bCs/>
          <w:color w:val="0B5FA5"/>
          <w:sz w:val="16"/>
          <w:szCs w:val="16"/>
        </w:rPr>
        <w:t xml:space="preserve">ALTER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ADD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institution_id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institutions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`institution_id` stays as a nullable column.</w:t>
      </w:r>
      <w:r>
        <w:rPr>
          <w:color w:val="13272F"/>
          <w:sz w:val="20"/>
          <w:szCs w:val="20"/>
        </w:rPr>
        <w:t xml:space="preserve"> You are not building the institutional product, but leaving the hook costs nothing now and avoids a painful retrofit if a medical school ever asks for a cohort licence.</w:t>
      </w:r>
    </w:p>
    <w:p>
      <w:pPr>
        <w:spacing w:after="120" w:before="60" w:line="300"/>
      </w:pPr>
      <w:r>
        <w:rPr>
          <w:color w:val="13272F"/>
          <w:sz w:val="20"/>
          <w:szCs w:val="20"/>
        </w:rPr>
        <w:t xml:space="preserve">New B2C-specific tables:</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Progress and engagement — the retention mechanics of a consumer product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user_progress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sessions_completed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current_streak_days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longest_streak_days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last_session_date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DATE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Per-bias trend, e.g. {"anchoring":{"last_10_rate":0.2,"trend":"improving"}}</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bias_trends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jsonb</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specialty_coverage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jsonb</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Which cases a user has seen, so we don't repeat them</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user_case_history</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times_attempted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first_attempt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last_attempt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best_verdict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'stripe' | 'apple' | 'google'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provider_customer_id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provider_sub_id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tier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status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active | past_due | cancelled | expired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current_period_end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created_at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Accounts and authentication</w:t>
      </w:r>
    </w:p>
    <w:p>
      <w:pPr>
        <w:pStyle w:val="Heading2"/>
        <w:spacing w:after="130" w:before="300"/>
      </w:pPr>
      <w:r>
        <w:rPr>
          <w:rFonts w:ascii="Georgia" w:cs="Georgia" w:eastAsia="Georgia" w:hAnsi="Georgia"/>
          <w:b/>
          <w:bCs/>
          <w:color w:val="1F7A8C"/>
          <w:sz w:val="25"/>
          <w:szCs w:val="25"/>
        </w:rPr>
        <w:t xml:space="preserve">3.1 Your question: build our own, or use Supabase?</w:t>
      </w:r>
    </w:p>
    <w:p>
      <w:pPr>
        <w:spacing w:after="120" w:before="60" w:line="300"/>
      </w:pPr>
      <w:r>
        <w:rPr>
          <w:color w:val="13272F"/>
          <w:sz w:val="20"/>
          <w:szCs w:val="20"/>
        </w:rPr>
        <w:t xml:space="preserve">You said: </w:t>
      </w:r>
      <w:r>
        <w:rPr>
          <w:i/>
          <w:iCs/>
          <w:color w:val="13272F"/>
          <w:sz w:val="20"/>
          <w:szCs w:val="20"/>
        </w:rPr>
        <w:t xml:space="preserve">if it is free and nice to have our own authentication, do that; if it takes a lot of effort, follow Supabase.</w:t>
      </w:r>
    </w:p>
    <w:p>
      <w:pPr>
        <w:spacing w:after="120" w:before="60" w:line="300"/>
      </w:pPr>
      <w:r>
        <w:rPr>
          <w:b/>
          <w:bCs/>
          <w:color w:val="13272F"/>
          <w:sz w:val="20"/>
          <w:szCs w:val="20"/>
        </w:rPr>
        <w:t xml:space="preserve">It is not free, and it is a lot of effort.</w:t>
      </w:r>
      <w:r>
        <w:rPr>
          <w:color w:val="13272F"/>
          <w:sz w:val="20"/>
          <w:szCs w:val="20"/>
        </w:rPr>
        <w:t xml:space="preserve"> Here is the honest inventory of what "our own auth" means.</w:t>
      </w:r>
    </w:p>
    <w:p>
      <w:pPr>
        <w:pStyle w:val="Heading2"/>
        <w:spacing w:after="130" w:before="300"/>
      </w:pPr>
      <w:r>
        <w:rPr>
          <w:rFonts w:ascii="Georgia" w:cs="Georgia" w:eastAsia="Georgia" w:hAnsi="Georgia"/>
          <w:b/>
          <w:bCs/>
          <w:color w:val="1F7A8C"/>
          <w:sz w:val="25"/>
          <w:szCs w:val="25"/>
        </w:rPr>
        <w:t xml:space="preserve">3.2 What building your own actually requires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838"/>
        <w:gridCol w:w="1193"/>
        <w:gridCol w:w="3329"/>
      </w:tblGrid>
      <w:tr>
        <w:trPr>
          <w:tblHeader/>
        </w:trPr>
        <w:tc>
          <w:tcPr>
            <w:tcW w:type="dxa" w:w="4838"/>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1193"/>
            <w:shd w:fill="13272F" w:val="clear"/>
            <w:tcMar>
              <w:top w:type="dxa" w:w="70"/>
              <w:left w:type="dxa" w:w="110"/>
              <w:bottom w:type="dxa" w:w="70"/>
              <w:right w:type="dxa" w:w="110"/>
            </w:tcMar>
          </w:tcPr>
          <w:p>
            <w:pPr>
              <w:spacing w:after="0" w:before="0"/>
            </w:pPr>
            <w:r>
              <w:rPr>
                <w:b/>
                <w:bCs/>
                <w:color w:val="FFFFFF"/>
                <w:sz w:val="17"/>
                <w:szCs w:val="17"/>
              </w:rPr>
              <w:t xml:space="preserve">Effort</w:t>
            </w:r>
          </w:p>
        </w:tc>
        <w:tc>
          <w:tcPr>
            <w:tcW w:type="dxa" w:w="3329"/>
            <w:shd w:fill="13272F" w:val="clear"/>
            <w:tcMar>
              <w:top w:type="dxa" w:w="70"/>
              <w:left w:type="dxa" w:w="110"/>
              <w:bottom w:type="dxa" w:w="70"/>
              <w:right w:type="dxa" w:w="110"/>
            </w:tcMar>
          </w:tcPr>
          <w:p>
            <w:pPr>
              <w:spacing w:after="0" w:before="0"/>
            </w:pPr>
            <w:r>
              <w:rPr>
                <w:b/>
                <w:bCs/>
                <w:color w:val="FFFFFF"/>
                <w:sz w:val="17"/>
                <w:szCs w:val="17"/>
              </w:rPr>
              <w:t xml:space="preserve">Risk if wrong</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Password hashing (Argon2id, correct parameters)</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0.5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Password database cracked after a breach</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Registration + email verification (tokens, expiry, single-use)</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1.5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Fake accounts; email enumeration</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Login with constant-time comparison</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0.5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Timing attacks reveal valid emails</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Password reset flow (secure token, expiry, invalidate on use, no enumeration)</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b/>
                <w:bCs/>
                <w:color w:val="13272F"/>
                <w:sz w:val="17"/>
                <w:szCs w:val="17"/>
              </w:rPr>
              <w:t xml:space="preserve">The classic account-takeover vector</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Session management (rotation, secure cookies, revocation)</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Session fixation, hijacking</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Rate limiting + lockout + backoff</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Credential stuffing succeeds</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Google OAuth</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7FAFB" w:val="clear"/>
            <w:tcMar>
              <w:top w:type="dxa" w:w="70"/>
              <w:left w:type="dxa" w:w="110"/>
              <w:bottom w:type="dxa" w:w="70"/>
              <w:right w:type="dxa" w:w="110"/>
            </w:tcMar>
          </w:tcPr>
          <w:p>
            <w:pPr>
              <w:spacing w:after="0" w:before="0"/>
            </w:pPr>
            <w:r>
              <w:rPr>
                <w:b/>
                <w:bCs/>
                <w:color w:val="13272F"/>
                <w:sz w:val="17"/>
                <w:szCs w:val="17"/>
              </w:rPr>
              <w:t xml:space="preserve">Apple Sign In</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1.5 d</w:t>
            </w:r>
          </w:p>
        </w:tc>
        <w:tc>
          <w:tcPr>
            <w:tcW w:type="dxa" w:w="3329"/>
            <w:shd w:fill="F7FAFB" w:val="clear"/>
            <w:tcMar>
              <w:top w:type="dxa" w:w="70"/>
              <w:left w:type="dxa" w:w="110"/>
              <w:bottom w:type="dxa" w:w="70"/>
              <w:right w:type="dxa" w:w="110"/>
            </w:tcMar>
          </w:tcPr>
          <w:p>
            <w:pPr>
              <w:spacing w:after="0" w:before="0"/>
            </w:pPr>
            <w:r>
              <w:rPr>
                <w:b/>
                <w:bCs/>
                <w:color w:val="13272F"/>
                <w:sz w:val="17"/>
                <w:szCs w:val="17"/>
              </w:rPr>
              <w:t xml:space="preserve">App Store rejection</w:t>
            </w:r>
            <w:r>
              <w:rPr>
                <w:color w:val="13272F"/>
                <w:sz w:val="17"/>
                <w:szCs w:val="17"/>
              </w:rPr>
              <w:t xml:space="preserve"> if omitted — see §3.3</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Email deliverability (SPF, DKIM, DMARC, provider setup)</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Verification mails land in spam; users cannot sign up</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MFA (TOTP)</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Account deletion / GDPR export</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Legal exposure</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Security review and testing</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1193"/>
            <w:shd w:fill="FFFFFF" w:val="clear"/>
            <w:tcMar>
              <w:top w:type="dxa" w:w="70"/>
              <w:left w:type="dxa" w:w="110"/>
              <w:bottom w:type="dxa" w:w="70"/>
              <w:right w:type="dxa" w:w="110"/>
            </w:tcMar>
          </w:tcPr>
          <w:p>
            <w:pPr>
              <w:spacing w:after="0" w:before="0"/>
            </w:pPr>
            <w:r>
              <w:rPr>
                <w:b/>
                <w:bCs/>
                <w:color w:val="13272F"/>
                <w:sz w:val="17"/>
                <w:szCs w:val="17"/>
              </w:rPr>
              <w:t xml:space="preserve">≈ 15 developer-days</w:t>
            </w:r>
          </w:p>
        </w:tc>
        <w:tc>
          <w:tcPr>
            <w:tcW w:type="dxa" w:w="3329"/>
            <w:shd w:fill="FFFFFF" w:val="clear"/>
            <w:tcMar>
              <w:top w:type="dxa" w:w="70"/>
              <w:left w:type="dxa" w:w="110"/>
              <w:bottom w:type="dxa" w:w="70"/>
              <w:right w:type="dxa" w:w="110"/>
            </w:tcMar>
          </w:tcPr>
          <w:p>
            <w:pPr>
              <w:spacing w:after="0" w:before="0"/>
            </w:pPr>
            <w:r>
              <w:rPr>
                <w:b/>
                <w:bCs/>
                <w:color w:val="13272F"/>
                <w:sz w:val="17"/>
                <w:szCs w:val="17"/>
              </w:rPr>
              <w:t xml:space="preserve">Ongoing liability, forever</w:t>
            </w:r>
          </w:p>
        </w:tc>
      </w:tr>
    </w:tbl>
    <w:p>
      <w:pPr>
        <w:spacing w:after="160"/>
      </w:pPr>
    </w:p>
    <w:p>
      <w:pPr>
        <w:spacing w:after="120" w:before="60" w:line="300"/>
      </w:pPr>
      <w:r>
        <w:rPr>
          <w:color w:val="13272F"/>
          <w:sz w:val="20"/>
          <w:szCs w:val="20"/>
        </w:rPr>
        <w:t xml:space="preserve">Fifteen days is roughly your entire Phase 0 and Phase 1 combined. And unlike the rest of the system, a mistake here is not a bug — it is a breach of medical professionals' accounts, with your name on it.</w:t>
      </w:r>
    </w:p>
    <w:p>
      <w:pPr>
        <w:pStyle w:val="Heading2"/>
        <w:spacing w:after="130" w:before="300"/>
      </w:pPr>
      <w:r>
        <w:rPr>
          <w:rFonts w:ascii="Georgia" w:cs="Georgia" w:eastAsia="Georgia" w:hAnsi="Georgia"/>
          <w:b/>
          <w:bCs/>
          <w:color w:val="1F7A8C"/>
          <w:sz w:val="25"/>
          <w:szCs w:val="25"/>
        </w:rPr>
        <w:t xml:space="preserve">3.3 The App Store constraint</w:t>
      </w:r>
    </w:p>
    <w:p>
      <w:pPr>
        <w:spacing w:after="120" w:before="60" w:line="300"/>
      </w:pPr>
      <w:r>
        <w:rPr>
          <w:color w:val="13272F"/>
          <w:sz w:val="20"/>
          <w:szCs w:val="20"/>
        </w:rPr>
        <w:t xml:space="preserve">This is decisive and easy to miss.</w:t>
      </w:r>
    </w:p>
    <w:p>
      <w:pPr>
        <w:spacing w:after="120" w:before="60" w:line="300"/>
      </w:pPr>
      <w:r>
        <w:rPr>
          <w:b/>
          <w:bCs/>
          <w:color w:val="13272F"/>
          <w:sz w:val="20"/>
          <w:szCs w:val="20"/>
        </w:rPr>
        <w:t xml:space="preserve">Apple's App Store Review Guideline 4.8</w:t>
      </w:r>
      <w:r>
        <w:rPr>
          <w:color w:val="13272F"/>
          <w:sz w:val="20"/>
          <w:szCs w:val="20"/>
        </w:rPr>
        <w:t xml:space="preserve"> requires that if your app offers </w:t>
      </w:r>
      <w:r>
        <w:rPr>
          <w:i/>
          <w:iCs/>
          <w:color w:val="13272F"/>
          <w:sz w:val="20"/>
          <w:szCs w:val="20"/>
        </w:rPr>
        <w:t xml:space="preserve">any</w:t>
      </w:r>
      <w:r>
        <w:rPr>
          <w:color w:val="13272F"/>
          <w:sz w:val="20"/>
          <w:szCs w:val="20"/>
        </w:rPr>
        <w:t xml:space="preserve"> third-party login (Google, Facebook), you must </w:t>
      </w:r>
      <w:r>
        <w:rPr>
          <w:b/>
          <w:bCs/>
          <w:color w:val="13272F"/>
          <w:sz w:val="20"/>
          <w:szCs w:val="20"/>
        </w:rPr>
        <w:t xml:space="preserve">also</w:t>
      </w:r>
      <w:r>
        <w:rPr>
          <w:color w:val="13272F"/>
          <w:sz w:val="20"/>
          <w:szCs w:val="20"/>
        </w:rPr>
        <w:t xml:space="preserve"> offer a login option that limits data collection to name and email and does not track — in practice, </w:t>
      </w:r>
      <w:r>
        <w:rPr>
          <w:b/>
          <w:bCs/>
          <w:color w:val="13272F"/>
          <w:sz w:val="20"/>
          <w:szCs w:val="20"/>
        </w:rPr>
        <w:t xml:space="preserve">Sign in with Apple</w:t>
      </w:r>
      <w:r>
        <w:rPr>
          <w:color w:val="13272F"/>
          <w:sz w:val="20"/>
          <w:szCs w:val="20"/>
        </w:rPr>
        <w:t xml:space="preserve">.</w:t>
      </w:r>
    </w:p>
    <w:p>
      <w:pPr>
        <w:spacing w:after="120" w:before="60" w:line="300"/>
      </w:pPr>
      <w:r>
        <w:rPr>
          <w:color w:val="13272F"/>
          <w:sz w:val="20"/>
          <w:szCs w:val="20"/>
        </w:rPr>
        <w:t xml:space="preserve">You will want Google login (it is what most users expect). Therefore you must implement Sign in with Apple. Implementing Sign in with Apple correctly — including the private-relay email addresses Apple issues, which you must handle as real addresses — is genuinely fiddly.</w:t>
      </w:r>
    </w:p>
    <w:p>
      <w:pPr>
        <w:spacing w:after="120" w:before="60" w:line="300"/>
      </w:pPr>
      <w:r>
        <w:rPr>
          <w:color w:val="13272F"/>
          <w:sz w:val="20"/>
          <w:szCs w:val="20"/>
        </w:rPr>
        <w:t xml:space="preserve">Supabase implements both. Building both yourself adds days and a rejection risk on your first submission.</w:t>
      </w:r>
    </w:p>
    <w:p>
      <w:pPr>
        <w:pStyle w:val="Heading2"/>
        <w:spacing w:after="130" w:before="300"/>
      </w:pPr>
      <w:r>
        <w:rPr>
          <w:rFonts w:ascii="Georgia" w:cs="Georgia" w:eastAsia="Georgia" w:hAnsi="Georgia"/>
          <w:b/>
          <w:bCs/>
          <w:color w:val="1F7A8C"/>
          <w:sz w:val="25"/>
          <w:szCs w:val="25"/>
        </w:rPr>
        <w:t xml:space="preserve">3.4 Decision</w:t>
      </w:r>
    </w:p>
    <w:p>
      <w:pPr>
        <w:pStyle w:val="Heading3"/>
        <w:spacing w:after="100" w:before="220"/>
      </w:pPr>
      <w:r>
        <w:rPr>
          <w:rFonts w:ascii="Georgia" w:cs="Georgia" w:eastAsia="Georgia" w:hAnsi="Georgia"/>
          <w:b/>
          <w:bCs/>
          <w:color w:val="13272F"/>
          <w:sz w:val="22"/>
          <w:szCs w:val="22"/>
        </w:rPr>
        <w:t xml:space="preserve">**Use Supabase Auth.**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34"/>
        <w:gridCol w:w="8026"/>
      </w:tblGrid>
      <w:tr>
        <w:trPr>
          <w:tblHeader/>
        </w:trPr>
        <w:tc>
          <w:tcPr>
            <w:tcW w:type="dxa" w:w="1334"/>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8026"/>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334"/>
            <w:shd w:fill="FFFFFF" w:val="clear"/>
            <w:tcMar>
              <w:top w:type="dxa" w:w="70"/>
              <w:left w:type="dxa" w:w="110"/>
              <w:bottom w:type="dxa" w:w="70"/>
              <w:right w:type="dxa" w:w="110"/>
            </w:tcMar>
          </w:tcPr>
          <w:p>
            <w:pPr>
              <w:spacing w:after="0" w:before="0"/>
            </w:pPr>
            <w:r>
              <w:rPr>
                <w:b/>
                <w:bCs/>
                <w:color w:val="13272F"/>
                <w:sz w:val="17"/>
                <w:szCs w:val="17"/>
              </w:rPr>
              <w:t xml:space="preserve">Supabase Auth</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w:t>
            </w:r>
            <w:r>
              <w:rPr>
                <w:color w:val="13272F"/>
                <w:sz w:val="17"/>
                <w:szCs w:val="17"/>
              </w:rPr>
              <w:t xml:space="preserve"> Free to 50 000 monthly active users. Email/password, magic link, Google, Apple, GitHub. Users live in </w:t>
            </w:r>
            <w:r>
              <w:rPr>
                <w:i/>
                <w:iCs/>
                <w:color w:val="13272F"/>
                <w:sz w:val="17"/>
                <w:szCs w:val="17"/>
              </w:rPr>
              <w:t xml:space="preserve">your</w:t>
            </w:r>
            <w:r>
              <w:rPr>
                <w:color w:val="13272F"/>
                <w:sz w:val="17"/>
                <w:szCs w:val="17"/>
              </w:rPr>
              <w:t xml:space="preserve"> Postgres (</w:t>
            </w:r>
            <w:r>
              <w:rPr>
                <w:rFonts w:ascii="Consolas" w:cs="Consolas" w:eastAsia="Consolas" w:hAnsi="Consolas"/>
                <w:color w:val="B3651F"/>
                <w:sz w:val="15"/>
                <w:szCs w:val="15"/>
              </w:rPr>
              <w:t xml:space="preserve">auth.users</w:t>
            </w:r>
            <w:r>
              <w:rPr>
                <w:color w:val="13272F"/>
                <w:sz w:val="17"/>
                <w:szCs w:val="17"/>
              </w:rPr>
              <w:t xml:space="preserve">), so no data lock-in. ~1 day to integrate versus ~15 to build.</w:t>
            </w:r>
          </w:p>
        </w:tc>
      </w:tr>
      <w:tr>
        <w:trPr>
          <w:tblHeader w:val="false"/>
        </w:trPr>
        <w:tc>
          <w:tcPr>
            <w:tcW w:type="dxa" w:w="1334"/>
            <w:shd w:fill="F7FAFB" w:val="clear"/>
            <w:tcMar>
              <w:top w:type="dxa" w:w="70"/>
              <w:left w:type="dxa" w:w="110"/>
              <w:bottom w:type="dxa" w:w="70"/>
              <w:right w:type="dxa" w:w="110"/>
            </w:tcMar>
          </w:tcPr>
          <w:p>
            <w:pPr>
              <w:spacing w:after="0" w:before="0"/>
            </w:pPr>
            <w:r>
              <w:rPr>
                <w:color w:val="13272F"/>
                <w:sz w:val="17"/>
                <w:szCs w:val="17"/>
              </w:rPr>
              <w:t xml:space="preserve">Clerk</w:t>
            </w:r>
          </w:p>
        </w:tc>
        <w:tc>
          <w:tcPr>
            <w:tcW w:type="dxa" w:w="8026"/>
            <w:shd w:fill="F7FAFB" w:val="clear"/>
            <w:tcMar>
              <w:top w:type="dxa" w:w="70"/>
              <w:left w:type="dxa" w:w="110"/>
              <w:bottom w:type="dxa" w:w="70"/>
              <w:right w:type="dxa" w:w="110"/>
            </w:tcMar>
          </w:tcPr>
          <w:p>
            <w:pPr>
              <w:spacing w:after="0" w:before="0"/>
            </w:pPr>
            <w:r>
              <w:rPr>
                <w:color w:val="13272F"/>
                <w:sz w:val="17"/>
                <w:szCs w:val="17"/>
              </w:rPr>
              <w:t xml:space="preserve">⚠️ Better UX components, but a second vendor alongside Supabase-the-database, and a tighter free tier. Only if you were not already on Supabase.</w:t>
            </w:r>
          </w:p>
        </w:tc>
      </w:tr>
      <w:tr>
        <w:trPr>
          <w:tblHeader w:val="false"/>
        </w:trPr>
        <w:tc>
          <w:tcPr>
            <w:tcW w:type="dxa" w:w="1334"/>
            <w:shd w:fill="FFFFFF" w:val="clear"/>
            <w:tcMar>
              <w:top w:type="dxa" w:w="70"/>
              <w:left w:type="dxa" w:w="110"/>
              <w:bottom w:type="dxa" w:w="70"/>
              <w:right w:type="dxa" w:w="110"/>
            </w:tcMar>
          </w:tcPr>
          <w:p>
            <w:pPr>
              <w:spacing w:after="0" w:before="0"/>
            </w:pPr>
            <w:r>
              <w:rPr>
                <w:color w:val="13272F"/>
                <w:sz w:val="17"/>
                <w:szCs w:val="17"/>
              </w:rPr>
              <w:t xml:space="preserve">Auth0</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Enterprise-grade, priced accordingly. Overkill.</w:t>
            </w:r>
          </w:p>
        </w:tc>
      </w:tr>
      <w:tr>
        <w:trPr>
          <w:tblHeader w:val="false"/>
        </w:trPr>
        <w:tc>
          <w:tcPr>
            <w:tcW w:type="dxa" w:w="1334"/>
            <w:shd w:fill="F7FAFB" w:val="clear"/>
            <w:tcMar>
              <w:top w:type="dxa" w:w="70"/>
              <w:left w:type="dxa" w:w="110"/>
              <w:bottom w:type="dxa" w:w="70"/>
              <w:right w:type="dxa" w:w="110"/>
            </w:tcMar>
          </w:tcPr>
          <w:p>
            <w:pPr>
              <w:spacing w:after="0" w:before="0"/>
            </w:pPr>
            <w:r>
              <w:rPr>
                <w:b/>
                <w:bCs/>
                <w:color w:val="13272F"/>
                <w:sz w:val="17"/>
                <w:szCs w:val="17"/>
              </w:rPr>
              <w:t xml:space="preserve">Build our own</w:t>
            </w:r>
          </w:p>
        </w:tc>
        <w:tc>
          <w:tcPr>
            <w:tcW w:type="dxa" w:w="8026"/>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Rejected.</w:t>
            </w:r>
            <w:r>
              <w:rPr>
                <w:color w:val="13272F"/>
                <w:sz w:val="17"/>
                <w:szCs w:val="17"/>
              </w:rPr>
              <w:t xml:space="preserve"> 15 days, permanent security liability, App Store risk, and no differentiating value. Nobody has ever chosen a learning app because of its bespoke password reset.</w:t>
            </w:r>
          </w:p>
        </w:tc>
      </w:tr>
      <w:tr>
        <w:trPr>
          <w:tblHeader w:val="false"/>
        </w:trPr>
        <w:tc>
          <w:tcPr>
            <w:tcW w:type="dxa" w:w="1334"/>
            <w:shd w:fill="FFFFFF" w:val="clear"/>
            <w:tcMar>
              <w:top w:type="dxa" w:w="70"/>
              <w:left w:type="dxa" w:w="110"/>
              <w:bottom w:type="dxa" w:w="70"/>
              <w:right w:type="dxa" w:w="110"/>
            </w:tcMar>
          </w:tcPr>
          <w:p>
            <w:pPr>
              <w:spacing w:after="0" w:before="0"/>
            </w:pPr>
            <w:r>
              <w:rPr>
                <w:color w:val="13272F"/>
                <w:sz w:val="17"/>
                <w:szCs w:val="17"/>
              </w:rPr>
              <w:t xml:space="preserve">Firebase Auth</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Would mean users in Google's system and data in Postgres — the split-brain problem of §2.3.</w:t>
            </w:r>
          </w:p>
        </w:tc>
      </w:tr>
    </w:tbl>
    <w:p>
      <w:pPr>
        <w:spacing w:after="160"/>
      </w:pPr>
    </w:p>
    <w:p>
      <w:pPr>
        <w:spacing w:after="120" w:before="60" w:line="300"/>
      </w:pPr>
      <w:r>
        <w:rPr>
          <w:b/>
          <w:bCs/>
          <w:color w:val="13272F"/>
          <w:sz w:val="20"/>
          <w:szCs w:val="20"/>
        </w:rPr>
        <w:t xml:space="preserve">The general principle worth internalising:</w:t>
      </w:r>
      <w:r>
        <w:rPr>
          <w:color w:val="13272F"/>
          <w:sz w:val="20"/>
          <w:szCs w:val="20"/>
        </w:rPr>
        <w:t xml:space="preserve"> build what makes your product different; buy what every product needs. Your bias detection is the product. Your password reset is not.</w:t>
      </w:r>
    </w:p>
    <w:p>
      <w:pPr>
        <w:pStyle w:val="Heading2"/>
        <w:spacing w:after="130" w:before="300"/>
      </w:pPr>
      <w:r>
        <w:rPr>
          <w:rFonts w:ascii="Georgia" w:cs="Georgia" w:eastAsia="Georgia" w:hAnsi="Georgia"/>
          <w:b/>
          <w:bCs/>
          <w:color w:val="1F7A8C"/>
          <w:sz w:val="25"/>
          <w:szCs w:val="25"/>
        </w:rPr>
        <w:t xml:space="preserve">3.5 Account model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6"/>
        <w:gridCol w:w="7904"/>
      </w:tblGrid>
      <w:tr>
        <w:trPr>
          <w:tblHeader/>
        </w:trPr>
        <w:tc>
          <w:tcPr>
            <w:tcW w:type="dxa" w:w="1456"/>
            <w:shd w:fill="13272F" w:val="clear"/>
            <w:tcMar>
              <w:top w:type="dxa" w:w="70"/>
              <w:left w:type="dxa" w:w="110"/>
              <w:bottom w:type="dxa" w:w="70"/>
              <w:right w:type="dxa" w:w="110"/>
            </w:tcMar>
          </w:tcPr>
          <w:p>
            <w:pPr>
              <w:spacing w:after="0" w:before="0"/>
            </w:pPr>
            <w:r>
              <w:rPr>
                <w:b/>
                <w:bCs/>
                <w:color w:val="FFFFFF"/>
                <w:sz w:val="17"/>
                <w:szCs w:val="17"/>
              </w:rPr>
              <w:t xml:space="preserve">Tier</w:t>
            </w:r>
          </w:p>
        </w:tc>
        <w:tc>
          <w:tcPr>
            <w:tcW w:type="dxa" w:w="7904"/>
            <w:shd w:fill="13272F" w:val="clear"/>
            <w:tcMar>
              <w:top w:type="dxa" w:w="70"/>
              <w:left w:type="dxa" w:w="110"/>
              <w:bottom w:type="dxa" w:w="70"/>
              <w:right w:type="dxa" w:w="110"/>
            </w:tcMar>
          </w:tcPr>
          <w:p>
            <w:pPr>
              <w:spacing w:after="0" w:before="0"/>
            </w:pPr>
            <w:r>
              <w:rPr>
                <w:b/>
                <w:bCs/>
                <w:color w:val="FFFFFF"/>
                <w:sz w:val="17"/>
                <w:szCs w:val="17"/>
              </w:rPr>
              <w:t xml:space="preserve">Capabilities</w:t>
            </w:r>
          </w:p>
        </w:tc>
      </w:tr>
      <w:tr>
        <w:trPr>
          <w:tblHeader w:val="false"/>
        </w:trPr>
        <w:tc>
          <w:tcPr>
            <w:tcW w:type="dxa" w:w="1456"/>
            <w:shd w:fill="FFFFFF" w:val="clear"/>
            <w:tcMar>
              <w:top w:type="dxa" w:w="70"/>
              <w:left w:type="dxa" w:w="110"/>
              <w:bottom w:type="dxa" w:w="70"/>
              <w:right w:type="dxa" w:w="110"/>
            </w:tcMar>
          </w:tcPr>
          <w:p>
            <w:pPr>
              <w:spacing w:after="0" w:before="0"/>
            </w:pPr>
            <w:r>
              <w:rPr>
                <w:b/>
                <w:bCs/>
                <w:color w:val="13272F"/>
                <w:sz w:val="17"/>
                <w:szCs w:val="17"/>
              </w:rPr>
              <w:t xml:space="preserve">Anonymous / trial</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One case, no account. Results held in browser storage; converted to an account if they sign up. Removes the single biggest signup drop-off.</w:t>
            </w:r>
          </w:p>
        </w:tc>
      </w:tr>
      <w:tr>
        <w:trPr>
          <w:tblHeader w:val="false"/>
        </w:trPr>
        <w:tc>
          <w:tcPr>
            <w:tcW w:type="dxa" w:w="1456"/>
            <w:shd w:fill="F7FAFB" w:val="clear"/>
            <w:tcMar>
              <w:top w:type="dxa" w:w="70"/>
              <w:left w:type="dxa" w:w="110"/>
              <w:bottom w:type="dxa" w:w="70"/>
              <w:right w:type="dxa" w:w="110"/>
            </w:tcMar>
          </w:tcPr>
          <w:p>
            <w:pPr>
              <w:spacing w:after="0" w:before="0"/>
            </w:pPr>
            <w:r>
              <w:rPr>
                <w:b/>
                <w:bCs/>
                <w:color w:val="13272F"/>
                <w:sz w:val="17"/>
                <w:szCs w:val="17"/>
              </w:rPr>
              <w:t xml:space="preserve">Free</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Account required. N cases per month, full feedback, progress tracking.</w:t>
            </w:r>
          </w:p>
        </w:tc>
      </w:tr>
      <w:tr>
        <w:trPr>
          <w:tblHeader w:val="false"/>
        </w:trPr>
        <w:tc>
          <w:tcPr>
            <w:tcW w:type="dxa" w:w="1456"/>
            <w:shd w:fill="FFFFFF" w:val="clear"/>
            <w:tcMar>
              <w:top w:type="dxa" w:w="70"/>
              <w:left w:type="dxa" w:w="110"/>
              <w:bottom w:type="dxa" w:w="70"/>
              <w:right w:type="dxa" w:w="110"/>
            </w:tcMar>
          </w:tcPr>
          <w:p>
            <w:pPr>
              <w:spacing w:after="0" w:before="0"/>
            </w:pPr>
            <w:r>
              <w:rPr>
                <w:b/>
                <w:bCs/>
                <w:color w:val="13272F"/>
                <w:sz w:val="17"/>
                <w:szCs w:val="17"/>
              </w:rPr>
              <w:t xml:space="preserve">Pro</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Unlimited cases, all specialties, analytics dashboard, export.</w:t>
            </w:r>
          </w:p>
        </w:tc>
      </w:tr>
      <w:tr>
        <w:trPr>
          <w:tblHeader w:val="false"/>
        </w:trPr>
        <w:tc>
          <w:tcPr>
            <w:tcW w:type="dxa" w:w="1456"/>
            <w:shd w:fill="F7FAFB" w:val="clear"/>
            <w:tcMar>
              <w:top w:type="dxa" w:w="70"/>
              <w:left w:type="dxa" w:w="110"/>
              <w:bottom w:type="dxa" w:w="70"/>
              <w:right w:type="dxa" w:w="110"/>
            </w:tcMar>
          </w:tcPr>
          <w:p>
            <w:pPr>
              <w:spacing w:after="0" w:before="0"/>
            </w:pPr>
            <w:r>
              <w:rPr>
                <w:b/>
                <w:bCs/>
                <w:color w:val="13272F"/>
                <w:sz w:val="17"/>
                <w:szCs w:val="17"/>
              </w:rPr>
              <w:t xml:space="preserve">Admin / Clinical reviewer</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§4</w:t>
            </w:r>
          </w:p>
        </w:tc>
      </w:tr>
    </w:tbl>
    <w:p>
      <w:pPr>
        <w:spacing w:after="160"/>
      </w:pPr>
    </w:p>
    <w:p>
      <w:pPr>
        <w:spacing w:after="120" w:before="60" w:line="300"/>
      </w:pPr>
      <w:r>
        <w:rPr>
          <w:b/>
          <w:bCs/>
          <w:color w:val="13272F"/>
          <w:sz w:val="20"/>
          <w:szCs w:val="20"/>
        </w:rPr>
        <w:t xml:space="preserve">Recommendation: let people try one full case before signing up.</w:t>
      </w:r>
      <w:r>
        <w:rPr>
          <w:color w:val="13272F"/>
          <w:sz w:val="20"/>
          <w:szCs w:val="20"/>
        </w:rPr>
        <w:t xml:space="preserve"> Requiring registration before the user has experienced the product is the most common and most costly consumer-funnel mistake.</w:t>
      </w:r>
    </w:p>
    <w:p>
      <w:pPr>
        <w:pStyle w:val="Heading2"/>
        <w:spacing w:after="130" w:before="300"/>
      </w:pPr>
      <w:r>
        <w:rPr>
          <w:rFonts w:ascii="Georgia" w:cs="Georgia" w:eastAsia="Georgia" w:hAnsi="Georgia"/>
          <w:b/>
          <w:bCs/>
          <w:color w:val="1F7A8C"/>
          <w:sz w:val="25"/>
          <w:szCs w:val="25"/>
        </w:rPr>
        <w:t xml:space="preserve">3.6 Integration shape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Client                    Your Flask/Next API              Supabase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sign 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JWT (access + refresh)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API call + Bearer JWT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verify JWT signature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(JWKS, cached)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extract sub → user id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load profile from DB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 authorise + serve         │</w:t>
      </w:r>
    </w:p>
    <w:p>
      <w:pPr>
        <w:spacing w:after="120" w:before="60" w:line="300"/>
      </w:pPr>
      <w:r>
        <w:rPr>
          <w:color w:val="13272F"/>
          <w:sz w:val="20"/>
          <w:szCs w:val="20"/>
        </w:rPr>
        <w:t xml:space="preserve">Your backend never handles passwords. It verifies a signed token and looks up a profile. A </w:t>
      </w:r>
      <w:r>
        <w:rPr>
          <w:rFonts w:ascii="Consolas" w:cs="Consolas" w:eastAsia="Consolas" w:hAnsi="Consolas"/>
          <w:color w:val="B3651F"/>
          <w:sz w:val="18"/>
          <w:szCs w:val="18"/>
        </w:rPr>
        <w:t xml:space="preserve">@require_auth</w:t>
      </w:r>
      <w:r>
        <w:rPr>
          <w:color w:val="13272F"/>
          <w:sz w:val="20"/>
          <w:szCs w:val="20"/>
        </w:rPr>
        <w:t xml:space="preserve"> decorator and a </w:t>
      </w:r>
      <w:r>
        <w:rPr>
          <w:rFonts w:ascii="Consolas" w:cs="Consolas" w:eastAsia="Consolas" w:hAnsi="Consolas"/>
          <w:color w:val="B3651F"/>
          <w:sz w:val="18"/>
          <w:szCs w:val="18"/>
        </w:rPr>
        <w:t xml:space="preserve">@require_tier('pro')</w:t>
      </w:r>
      <w:r>
        <w:rPr>
          <w:color w:val="13272F"/>
          <w:sz w:val="20"/>
          <w:szCs w:val="20"/>
        </w:rPr>
        <w:t xml:space="preserve"> decorator cover essentially every route.</w:t>
      </w:r>
    </w:p>
    <w:p>
      <w:pPr>
        <w:spacing w:after="120" w:before="60" w:line="300"/>
      </w:pPr>
      <w:r>
        <w:rPr>
          <w:b/>
          <w:bCs/>
          <w:color w:val="13272F"/>
          <w:sz w:val="20"/>
          <w:szCs w:val="20"/>
        </w:rPr>
        <w:t xml:space="preserve">Row-Level Security</w:t>
      </w:r>
      <w:r>
        <w:rPr>
          <w:color w:val="13272F"/>
          <w:sz w:val="20"/>
          <w:szCs w:val="20"/>
        </w:rPr>
        <w:t xml:space="preserve"> stays as defence in depth: policies keyed on </w:t>
      </w:r>
      <w:r>
        <w:rPr>
          <w:rFonts w:ascii="Consolas" w:cs="Consolas" w:eastAsia="Consolas" w:hAnsi="Consolas"/>
          <w:color w:val="B3651F"/>
          <w:sz w:val="18"/>
          <w:szCs w:val="18"/>
        </w:rPr>
        <w:t xml:space="preserve">auth.uid()</w:t>
      </w:r>
      <w:r>
        <w:rPr>
          <w:color w:val="13272F"/>
          <w:sz w:val="20"/>
          <w:szCs w:val="20"/>
        </w:rPr>
        <w:t xml:space="preserve"> mean that even a bug in application code cannot return another user's sessions.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The Admin Console</w:t>
      </w:r>
    </w:p>
    <w:p>
      <w:pPr>
        <w:pBdr>
          <w:left w:val="single" w:color="B3651F" w:sz="16" w:space="10"/>
        </w:pBdr>
        <w:shd w:fill="FFF6E8" w:val="clear"/>
        <w:spacing w:after="160" w:before="140" w:line="300"/>
        <w:ind w:left="260" w:right="200"/>
      </w:pPr>
      <w:r>
        <w:rPr>
          <w:color w:val="13272F"/>
          <w:sz w:val="20"/>
          <w:szCs w:val="20"/>
        </w:rPr>
        <w:t xml:space="preserve">This is the largest new section, and the one you asked for most directly. It is designed as the operational cockpit of a company, not a debug page.</w:t>
      </w:r>
    </w:p>
    <w:p>
      <w:pPr>
        <w:pStyle w:val="Heading2"/>
        <w:spacing w:after="130" w:before="300"/>
      </w:pPr>
      <w:r>
        <w:rPr>
          <w:rFonts w:ascii="Georgia" w:cs="Georgia" w:eastAsia="Georgia" w:hAnsi="Georgia"/>
          <w:b/>
          <w:bCs/>
          <w:color w:val="1F7A8C"/>
          <w:sz w:val="25"/>
          <w:szCs w:val="25"/>
        </w:rPr>
        <w:t xml:space="preserve">4.1 Why this matters more than it sounds</w:t>
      </w:r>
    </w:p>
    <w:p>
      <w:pPr>
        <w:spacing w:after="120" w:before="60" w:line="300"/>
      </w:pPr>
      <w:r>
        <w:rPr>
          <w:color w:val="13272F"/>
          <w:sz w:val="20"/>
          <w:szCs w:val="20"/>
        </w:rPr>
        <w:t xml:space="preserve">Your instinct is exactly right: </w:t>
      </w:r>
      <w:r>
        <w:rPr>
          <w:b/>
          <w:bCs/>
          <w:color w:val="13272F"/>
          <w:sz w:val="20"/>
          <w:szCs w:val="20"/>
        </w:rPr>
        <w:t xml:space="preserve">you cannot edit code every time a case needs a comma changed.</w:t>
      </w:r>
      <w:r>
        <w:rPr>
          <w:color w:val="13272F"/>
          <w:sz w:val="20"/>
          <w:szCs w:val="20"/>
        </w:rPr>
        <w:t xml:space="preserve"> But the deeper reason is this —</w:t>
      </w:r>
    </w:p>
    <w:p>
      <w:pPr>
        <w:spacing w:after="120" w:before="60" w:line="300"/>
      </w:pPr>
      <w:r>
        <w:rPr>
          <w:color w:val="13272F"/>
          <w:sz w:val="20"/>
          <w:szCs w:val="20"/>
        </w:rPr>
        <w:t xml:space="preserve">Right now, </w:t>
      </w:r>
      <w:r>
        <w:rPr>
          <w:rFonts w:ascii="Consolas" w:cs="Consolas" w:eastAsia="Consolas" w:hAnsi="Consolas"/>
          <w:color w:val="B3651F"/>
          <w:sz w:val="18"/>
          <w:szCs w:val="18"/>
        </w:rPr>
        <w:t xml:space="preserve">cases.py</w:t>
      </w:r>
      <w:r>
        <w:rPr>
          <w:color w:val="13272F"/>
          <w:sz w:val="20"/>
          <w:szCs w:val="20"/>
        </w:rPr>
        <w:t xml:space="preserve"> is 2 421 lines of Python containing clinical content. That means:</w:t>
      </w:r>
    </w:p>
    <w:p>
      <w:pPr>
        <w:pStyle w:val="ListParagraph"/>
        <w:numPr>
          <w:ilvl w:val="0"/>
          <w:numId w:val="1"/>
        </w:numPr>
        <w:spacing w:after="40" w:before="40" w:line="280"/>
      </w:pPr>
      <w:r>
        <w:rPr>
          <w:color w:val="13272F"/>
          <w:sz w:val="20"/>
          <w:szCs w:val="20"/>
        </w:rPr>
        <w:t xml:space="preserve">Only a programmer can change a case</w:t>
      </w:r>
    </w:p>
    <w:p>
      <w:pPr>
        <w:pStyle w:val="ListParagraph"/>
        <w:numPr>
          <w:ilvl w:val="0"/>
          <w:numId w:val="1"/>
        </w:numPr>
        <w:spacing w:after="40" w:before="40" w:line="280"/>
      </w:pPr>
      <w:r>
        <w:rPr>
          <w:color w:val="13272F"/>
          <w:sz w:val="20"/>
          <w:szCs w:val="20"/>
        </w:rPr>
        <w:t xml:space="preserve">Your clinician friends cannot review anything without reading Python</w:t>
      </w:r>
    </w:p>
    <w:p>
      <w:pPr>
        <w:pStyle w:val="ListParagraph"/>
        <w:numPr>
          <w:ilvl w:val="0"/>
          <w:numId w:val="1"/>
        </w:numPr>
        <w:spacing w:after="40" w:before="40" w:line="280"/>
      </w:pPr>
      <w:r>
        <w:rPr>
          <w:color w:val="13272F"/>
          <w:sz w:val="20"/>
          <w:szCs w:val="20"/>
        </w:rPr>
        <w:t xml:space="preserve">Every content fix is a deploy</w:t>
      </w:r>
    </w:p>
    <w:p>
      <w:pPr>
        <w:pStyle w:val="ListParagraph"/>
        <w:numPr>
          <w:ilvl w:val="0"/>
          <w:numId w:val="1"/>
        </w:numPr>
        <w:spacing w:after="40" w:before="40" w:line="280"/>
      </w:pPr>
      <w:r>
        <w:rPr>
          <w:color w:val="13272F"/>
          <w:sz w:val="20"/>
          <w:szCs w:val="20"/>
        </w:rPr>
        <w:t xml:space="preserve">A typo in a keyword list is a production incident</w:t>
      </w:r>
    </w:p>
    <w:p>
      <w:pPr>
        <w:pStyle w:val="ListParagraph"/>
        <w:numPr>
          <w:ilvl w:val="0"/>
          <w:numId w:val="1"/>
        </w:numPr>
        <w:spacing w:after="40" w:before="40" w:line="280"/>
      </w:pPr>
      <w:r>
        <w:rPr>
          <w:color w:val="13272F"/>
          <w:sz w:val="20"/>
          <w:szCs w:val="20"/>
        </w:rPr>
        <w:t xml:space="preserve">There is no record of who changed what, or why</w:t>
      </w:r>
    </w:p>
    <w:p>
      <w:pPr>
        <w:spacing w:after="120" w:before="60" w:line="300"/>
      </w:pPr>
      <w:r>
        <w:rPr>
          <w:color w:val="13272F"/>
          <w:sz w:val="20"/>
          <w:szCs w:val="20"/>
        </w:rPr>
        <w:t xml:space="preserve">A professional content platform separates </w:t>
      </w:r>
      <w:r>
        <w:rPr>
          <w:b/>
          <w:bCs/>
          <w:color w:val="13272F"/>
          <w:sz w:val="20"/>
          <w:szCs w:val="20"/>
        </w:rPr>
        <w:t xml:space="preserve">content</w:t>
      </w:r>
      <w:r>
        <w:rPr>
          <w:color w:val="13272F"/>
          <w:sz w:val="20"/>
          <w:szCs w:val="20"/>
        </w:rPr>
        <w:t xml:space="preserve"> from </w:t>
      </w:r>
      <w:r>
        <w:rPr>
          <w:b/>
          <w:bCs/>
          <w:color w:val="13272F"/>
          <w:sz w:val="20"/>
          <w:szCs w:val="20"/>
        </w:rPr>
        <w:t xml:space="preserve">code</w:t>
      </w:r>
      <w:r>
        <w:rPr>
          <w:color w:val="13272F"/>
          <w:sz w:val="20"/>
          <w:szCs w:val="20"/>
        </w:rPr>
        <w:t xml:space="preserve">. The admin console is how content gets managed by the people qualified to manage it — which, for clinical content, is not you.</w:t>
      </w:r>
    </w:p>
    <w:p>
      <w:pPr>
        <w:pStyle w:val="Heading2"/>
        <w:spacing w:after="130" w:before="300"/>
      </w:pPr>
      <w:r>
        <w:rPr>
          <w:rFonts w:ascii="Georgia" w:cs="Georgia" w:eastAsia="Georgia" w:hAnsi="Georgia"/>
          <w:b/>
          <w:bCs/>
          <w:color w:val="1F7A8C"/>
          <w:sz w:val="25"/>
          <w:szCs w:val="25"/>
        </w:rPr>
        <w:t xml:space="preserve">4.2 Console structure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/admin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Dashboard                 health, usage, cost, alerts at a glance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Bank                  browse, filter, search all cases and versions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Editor                structured case editing — no code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Playtest              run a case as a student, see detector output live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Review queue          clinical sign-off workflow</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Analytics             per-case performance and trap effectiveness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Content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Examinations          the 27 — add, edit, group, normal findings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Investigations        the 86 — add, edit, group, reference ranges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Topic Lexicon         40 topics, 523 phrases; live match tester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AI Operations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Conversations         sample and inspect real patient dialogues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Leakage monitor       persona-breach detection queue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Prompts               versioned prompt management + A/B tests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Usage &amp; cost          tokens, spend, latency, errors by model</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Providers             model routing config, failover, budgets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Assessment Engine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Thresholds            edit with impact preview before applying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Validation            run the 18-transcript suite from the UI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Replay                recompute historical sessions under a new engine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Factory</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Runs                  trigger, monitor, funnel visualisation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Candidates            review, approve, reject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Sources               dataset connector config and licence status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Users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Directory             search, filter, inspect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Subscriptions         billing state, manual grants, refunds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Support               impersonation-free session inspection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Analytics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Product               DAU/MAU, retention, funnel</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Learning              aggregate outcomes, bias trends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Revenue               MRR, churn, LTV</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System</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Feature flags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Audit log</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Jobs                  background job status</w:t>
      </w:r>
    </w:p>
    <w:p>
      <w:pPr>
        <w:pStyle w:val="Heading2"/>
        <w:spacing w:after="130" w:before="300"/>
      </w:pPr>
      <w:r>
        <w:rPr>
          <w:rFonts w:ascii="Georgia" w:cs="Georgia" w:eastAsia="Georgia" w:hAnsi="Georgia"/>
          <w:b/>
          <w:bCs/>
          <w:color w:val="1F7A8C"/>
          <w:sz w:val="25"/>
          <w:szCs w:val="25"/>
        </w:rPr>
        <w:t xml:space="preserve">4.3 Case management</w:t>
      </w:r>
    </w:p>
    <w:p>
      <w:pPr>
        <w:pStyle w:val="Heading3"/>
        <w:spacing w:after="100" w:before="220"/>
      </w:pPr>
      <w:r>
        <w:rPr>
          <w:rFonts w:ascii="Georgia" w:cs="Georgia" w:eastAsia="Georgia" w:hAnsi="Georgia"/>
          <w:b/>
          <w:bCs/>
          <w:color w:val="13272F"/>
          <w:sz w:val="22"/>
          <w:szCs w:val="22"/>
        </w:rPr>
        <w:t xml:space="preserve">Case Bank</w:t>
      </w:r>
    </w:p>
    <w:p>
      <w:pPr>
        <w:spacing w:after="120" w:before="60" w:line="300"/>
      </w:pPr>
      <w:r>
        <w:rPr>
          <w:color w:val="13272F"/>
          <w:sz w:val="20"/>
          <w:szCs w:val="20"/>
        </w:rPr>
        <w:t xml:space="preserve">A filterable table over </w:t>
      </w:r>
      <w:r>
        <w:rPr>
          <w:rFonts w:ascii="Consolas" w:cs="Consolas" w:eastAsia="Consolas" w:hAnsi="Consolas"/>
          <w:color w:val="B3651F"/>
          <w:sz w:val="18"/>
          <w:szCs w:val="18"/>
        </w:rPr>
        <w:t xml:space="preserve">case_versions</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20"/>
        <w:gridCol w:w="6240"/>
      </w:tblGrid>
      <w:tr>
        <w:trPr>
          <w:tblHeader/>
        </w:trPr>
        <w:tc>
          <w:tcPr>
            <w:tcW w:type="dxa" w:w="3120"/>
            <w:shd w:fill="13272F" w:val="clear"/>
            <w:tcMar>
              <w:top w:type="dxa" w:w="70"/>
              <w:left w:type="dxa" w:w="110"/>
              <w:bottom w:type="dxa" w:w="70"/>
              <w:right w:type="dxa" w:w="110"/>
            </w:tcMar>
          </w:tcPr>
          <w:p>
            <w:pPr>
              <w:spacing w:after="0" w:before="0"/>
            </w:pPr>
            <w:r>
              <w:rPr>
                <w:b/>
                <w:bCs/>
                <w:color w:val="FFFFFF"/>
                <w:sz w:val="17"/>
                <w:szCs w:val="17"/>
              </w:rPr>
              <w:t xml:space="preserve">Column</w:t>
            </w:r>
          </w:p>
        </w:tc>
        <w:tc>
          <w:tcPr>
            <w:tcW w:type="dxa" w:w="6240"/>
            <w:shd w:fill="13272F" w:val="clear"/>
            <w:tcMar>
              <w:top w:type="dxa" w:w="70"/>
              <w:left w:type="dxa" w:w="110"/>
              <w:bottom w:type="dxa" w:w="70"/>
              <w:right w:type="dxa" w:w="110"/>
            </w:tcMar>
          </w:tcPr>
          <w:p>
            <w:pPr>
              <w:spacing w:after="0" w:before="0"/>
            </w:pPr>
            <w:r>
              <w:rPr>
                <w:b/>
                <w:bCs/>
                <w:color w:val="FFFFFF"/>
                <w:sz w:val="17"/>
                <w:szCs w:val="17"/>
              </w:rPr>
              <w:t xml:space="preserve">Purpose</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Title, specialty, trap type</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Identification</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Status</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draft · candidate · in_review · published · retired</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Origin</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hand-authored · generated</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Version</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with a diff link to the previous</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Clinical sign-off</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reviewer name and date, or "unreviewed"</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Attempts</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how many users have played it</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Trap rate</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 who fell for the trap — </w:t>
            </w:r>
            <w:r>
              <w:rPr>
                <w:b/>
                <w:bCs/>
                <w:color w:val="13272F"/>
                <w:sz w:val="17"/>
                <w:szCs w:val="17"/>
              </w:rPr>
              <w:t xml:space="preserve">the case's actual difficulty</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Detector health</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whether the trap self-test still passes</w:t>
            </w:r>
          </w:p>
        </w:tc>
      </w:tr>
    </w:tbl>
    <w:p>
      <w:pPr>
        <w:spacing w:after="160"/>
      </w:pPr>
    </w:p>
    <w:p>
      <w:pPr>
        <w:spacing w:after="120" w:before="60" w:line="300"/>
      </w:pPr>
      <w:r>
        <w:rPr>
          <w:color w:val="13272F"/>
          <w:sz w:val="20"/>
          <w:szCs w:val="20"/>
        </w:rPr>
        <w:t xml:space="preserve">Bulk actions: publish, retire, assign for review, export.</w:t>
      </w:r>
    </w:p>
    <w:p>
      <w:pPr>
        <w:pStyle w:val="Heading3"/>
        <w:spacing w:after="100" w:before="220"/>
      </w:pPr>
      <w:r>
        <w:rPr>
          <w:rFonts w:ascii="Georgia" w:cs="Georgia" w:eastAsia="Georgia" w:hAnsi="Georgia"/>
          <w:b/>
          <w:bCs/>
          <w:color w:val="13272F"/>
          <w:sz w:val="22"/>
          <w:szCs w:val="22"/>
        </w:rPr>
        <w:t xml:space="preserve">Case Editor</w:t>
      </w:r>
    </w:p>
    <w:p>
      <w:pPr>
        <w:spacing w:after="120" w:before="60" w:line="300"/>
      </w:pPr>
      <w:r>
        <w:rPr>
          <w:color w:val="13272F"/>
          <w:sz w:val="20"/>
          <w:szCs w:val="20"/>
        </w:rPr>
        <w:t xml:space="preserve">The critical piece. A structured form, not a code editor: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12"/>
        <w:gridCol w:w="7448"/>
      </w:tblGrid>
      <w:tr>
        <w:trPr>
          <w:tblHeader/>
        </w:trPr>
        <w:tc>
          <w:tcPr>
            <w:tcW w:type="dxa" w:w="1912"/>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7448"/>
            <w:shd w:fill="13272F" w:val="clear"/>
            <w:tcMar>
              <w:top w:type="dxa" w:w="70"/>
              <w:left w:type="dxa" w:w="110"/>
              <w:bottom w:type="dxa" w:w="70"/>
              <w:right w:type="dxa" w:w="110"/>
            </w:tcMar>
          </w:tcPr>
          <w:p>
            <w:pPr>
              <w:spacing w:after="0" w:before="0"/>
            </w:pPr>
            <w:r>
              <w:rPr>
                <w:b/>
                <w:bCs/>
                <w:color w:val="FFFFFF"/>
                <w:sz w:val="17"/>
                <w:szCs w:val="17"/>
              </w:rPr>
              <w:t xml:space="preserve">Fields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Patient</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Name, age, sex, presenting complaint, opening line, personality notes</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Truth</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Correct diagnosis, accepted diagnosis phrases, partial phrases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The trap</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Anchor topic, anchor keywords (tag input), alternative-hypothesis keywords</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History design</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Required topics (multi-select from the lexicon), minimum questions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Contradictory clues</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Grouped keyword sets, each a tag list</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Examination</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For each of the 27: is it key? what is the finding? (blank ⇒ normal)</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Investigations</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For each of the 86: category (key/reasonable/low-value) and result</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Persona prompt</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The system prompt, with a live token counter</w:t>
            </w:r>
          </w:p>
        </w:tc>
      </w:tr>
    </w:tbl>
    <w:p>
      <w:pPr>
        <w:spacing w:after="160"/>
      </w:pPr>
    </w:p>
    <w:p>
      <w:pPr>
        <w:spacing w:after="120" w:before="60" w:line="300"/>
      </w:pPr>
      <w:r>
        <w:rPr>
          <w:color w:val="13272F"/>
          <w:sz w:val="20"/>
          <w:szCs w:val="20"/>
        </w:rPr>
        <w:t xml:space="preserve">Three things the editor must do that a text editor cannot:</w:t>
      </w:r>
    </w:p>
    <w:p>
      <w:pPr>
        <w:pStyle w:val="ListParagraph"/>
        <w:numPr>
          <w:ilvl w:val="0"/>
          <w:numId w:val="2"/>
        </w:numPr>
        <w:spacing w:after="40" w:before="40" w:line="280"/>
      </w:pPr>
      <w:r>
        <w:rPr>
          <w:b/>
          <w:bCs/>
          <w:color w:val="13272F"/>
          <w:sz w:val="20"/>
          <w:szCs w:val="20"/>
        </w:rPr>
        <w:t xml:space="preserve">Live validation.</w:t>
      </w:r>
      <w:r>
        <w:rPr>
          <w:color w:val="13272F"/>
          <w:sz w:val="20"/>
          <w:szCs w:val="20"/>
        </w:rPr>
        <w:t xml:space="preserve"> Anchor keywords and contradictory clues must not share vocabulary. The editor blocks saving if they overlap — </w:t>
      </w:r>
      <w:r>
        <w:rPr>
          <w:b/>
          <w:bCs/>
          <w:color w:val="13272F"/>
          <w:sz w:val="20"/>
          <w:szCs w:val="20"/>
        </w:rPr>
        <w:t xml:space="preserve">this is the bug that cost you 14 % sensitivity, made structurally impossible.</w:t>
      </w:r>
    </w:p>
    <w:p>
      <w:pPr>
        <w:pStyle w:val="ListParagraph"/>
        <w:numPr>
          <w:ilvl w:val="0"/>
          <w:numId w:val="2"/>
        </w:numPr>
        <w:spacing w:after="40" w:before="40" w:line="280"/>
      </w:pPr>
      <w:r>
        <w:rPr>
          <w:b/>
          <w:bCs/>
          <w:color w:val="13272F"/>
          <w:sz w:val="20"/>
          <w:szCs w:val="20"/>
        </w:rPr>
        <w:t xml:space="preserve">Completeness checks.</w:t>
      </w:r>
      <w:r>
        <w:rPr>
          <w:color w:val="13272F"/>
          <w:sz w:val="20"/>
          <w:szCs w:val="20"/>
        </w:rPr>
        <w:t xml:space="preserve"> Minimum keyword counts, at least two accepted-diagnosis phrases, at least four clue sets, key investigations actually marked.</w:t>
      </w:r>
    </w:p>
    <w:p>
      <w:pPr>
        <w:pStyle w:val="ListParagraph"/>
        <w:numPr>
          <w:ilvl w:val="0"/>
          <w:numId w:val="2"/>
        </w:numPr>
        <w:spacing w:after="40" w:before="40" w:line="280"/>
      </w:pPr>
      <w:r>
        <w:rPr>
          <w:b/>
          <w:bCs/>
          <w:color w:val="13272F"/>
          <w:sz w:val="20"/>
          <w:szCs w:val="20"/>
        </w:rPr>
        <w:t xml:space="preserve">Draft isolation.</w:t>
      </w:r>
      <w:r>
        <w:rPr>
          <w:color w:val="13272F"/>
          <w:sz w:val="20"/>
          <w:szCs w:val="20"/>
        </w:rPr>
        <w:t xml:space="preserve"> Editing a published case creates a new draft version. Published content is immutable. Sessions always reference the exact version played.</w:t>
      </w:r>
    </w:p>
    <w:p>
      <w:pPr>
        <w:pStyle w:val="Heading3"/>
        <w:spacing w:after="100" w:before="220"/>
      </w:pPr>
      <w:r>
        <w:rPr>
          <w:rFonts w:ascii="Georgia" w:cs="Georgia" w:eastAsia="Georgia" w:hAnsi="Georgia"/>
          <w:b/>
          <w:bCs/>
          <w:color w:val="13272F"/>
          <w:sz w:val="22"/>
          <w:szCs w:val="22"/>
        </w:rPr>
        <w:t xml:space="preserve">Playtest</w:t>
      </w:r>
    </w:p>
    <w:p>
      <w:pPr>
        <w:spacing w:after="120" w:before="60" w:line="300"/>
      </w:pPr>
      <w:r>
        <w:rPr>
          <w:b/>
          <w:bCs/>
          <w:color w:val="13272F"/>
          <w:sz w:val="20"/>
          <w:szCs w:val="20"/>
        </w:rPr>
        <w:t xml:space="preserve">The single most valuable admin feature</w:t>
      </w:r>
      <w:r>
        <w:rPr>
          <w:color w:val="13272F"/>
          <w:sz w:val="20"/>
          <w:szCs w:val="20"/>
        </w:rPr>
        <w:t xml:space="preserve">, and the direct answer to "how are the cases looking, how are they working."</w:t>
      </w:r>
    </w:p>
    <w:p>
      <w:pPr>
        <w:spacing w:after="120" w:before="60" w:line="300"/>
      </w:pPr>
      <w:r>
        <w:rPr>
          <w:color w:val="13272F"/>
          <w:sz w:val="20"/>
          <w:szCs w:val="20"/>
        </w:rPr>
        <w:t xml:space="preserve">A split screen: the student view on the left, the instrumentation on the right.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Student view                │  Live instrumentation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Is the pain burning?   │  Topics matched: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Yes, a burning...  │    ✓ pain_character (keyword)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Any painkillers?       │  Counters:  q=2  a=0  m=1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I take ibuprofen…  │  Coverage:  2/8 = 25%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Detectors (live):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Anchoring        ✗  0.00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Premature        ✓  0.75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Confirmation     ✗  0.00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explored: 2/6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burning  ✓ ibuprofen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LEAKAGE: patient revealed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'ibuprofen' — was it asked?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This lets a non-programmer see </w:t>
      </w:r>
      <w:r>
        <w:rPr>
          <w:b/>
          <w:bCs/>
          <w:color w:val="13272F"/>
          <w:sz w:val="20"/>
          <w:szCs w:val="20"/>
        </w:rPr>
        <w:t xml:space="preserve">exactly</w:t>
      </w:r>
      <w:r>
        <w:rPr>
          <w:color w:val="13272F"/>
          <w:sz w:val="20"/>
          <w:szCs w:val="20"/>
        </w:rPr>
        <w:t xml:space="preserve"> why a detector fired. It is how your clinician reviewers will judge whether a case works. It also surfaces persona leakage while authoring rather than after data collection.</w:t>
      </w:r>
    </w:p>
    <w:p>
      <w:pPr>
        <w:pStyle w:val="Heading3"/>
        <w:spacing w:after="100" w:before="220"/>
      </w:pPr>
      <w:r>
        <w:rPr>
          <w:rFonts w:ascii="Georgia" w:cs="Georgia" w:eastAsia="Georgia" w:hAnsi="Georgia"/>
          <w:b/>
          <w:bCs/>
          <w:color w:val="13272F"/>
          <w:sz w:val="22"/>
          <w:szCs w:val="22"/>
        </w:rPr>
        <w:t xml:space="preserve">Handling unlimited cases without retirement (your D-4 answer)</w:t>
      </w:r>
    </w:p>
    <w:p>
      <w:pPr>
        <w:spacing w:after="120" w:before="60" w:line="300"/>
      </w:pPr>
      <w:r>
        <w:rPr>
          <w:color w:val="13272F"/>
          <w:sz w:val="20"/>
          <w:szCs w:val="20"/>
        </w:rPr>
        <w:t xml:space="preserve">You said no retirement policy — unlimited growth instead. Accepted. But the risk retirement was solving is real: </w:t>
      </w:r>
      <w:r>
        <w:rPr>
          <w:b/>
          <w:bCs/>
          <w:color w:val="13272F"/>
          <w:sz w:val="20"/>
          <w:szCs w:val="20"/>
        </w:rPr>
        <w:t xml:space="preserve">once a case is popular, answers get shared.</w:t>
      </w:r>
      <w:r>
        <w:rPr>
          <w:color w:val="13272F"/>
          <w:sz w:val="20"/>
          <w:szCs w:val="20"/>
        </w:rPr>
        <w:t xml:space="preserve"> Mitigations that do not require retirement: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1"/>
        <w:gridCol w:w="7979"/>
      </w:tblGrid>
      <w:tr>
        <w:trPr>
          <w:tblHeader/>
        </w:trPr>
        <w:tc>
          <w:tcPr>
            <w:tcW w:type="dxa" w:w="1381"/>
            <w:shd w:fill="13272F" w:val="clear"/>
            <w:tcMar>
              <w:top w:type="dxa" w:w="70"/>
              <w:left w:type="dxa" w:w="110"/>
              <w:bottom w:type="dxa" w:w="70"/>
              <w:right w:type="dxa" w:w="110"/>
            </w:tcMar>
          </w:tcPr>
          <w:p>
            <w:pPr>
              <w:spacing w:after="0" w:before="0"/>
            </w:pPr>
            <w:r>
              <w:rPr>
                <w:b/>
                <w:bCs/>
                <w:color w:val="FFFFFF"/>
                <w:sz w:val="17"/>
                <w:szCs w:val="17"/>
              </w:rPr>
              <w:t xml:space="preserve">Mechanism</w:t>
            </w:r>
          </w:p>
        </w:tc>
        <w:tc>
          <w:tcPr>
            <w:tcW w:type="dxa" w:w="7979"/>
            <w:shd w:fill="13272F" w:val="clear"/>
            <w:tcMar>
              <w:top w:type="dxa" w:w="70"/>
              <w:left w:type="dxa" w:w="110"/>
              <w:bottom w:type="dxa" w:w="70"/>
              <w:right w:type="dxa" w:w="110"/>
            </w:tcMar>
          </w:tcPr>
          <w:p>
            <w:pPr>
              <w:spacing w:after="0" w:before="0"/>
            </w:pPr>
            <w:r>
              <w:rPr>
                <w:b/>
                <w:bCs/>
                <w:color w:val="FFFFFF"/>
                <w:sz w:val="17"/>
                <w:szCs w:val="17"/>
              </w:rPr>
              <w:t xml:space="preserve">How it works</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Randomised selection</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Users never choose a case; the system serves one from the eligible pool, weighted by what they have not seen.</w:t>
            </w:r>
          </w:p>
        </w:tc>
      </w:tr>
      <w:tr>
        <w:trPr>
          <w:tblHeader w:val="false"/>
        </w:trPr>
        <w:tc>
          <w:tcPr>
            <w:tcW w:type="dxa" w:w="1381"/>
            <w:shd w:fill="F7FAFB" w:val="clear"/>
            <w:tcMar>
              <w:top w:type="dxa" w:w="70"/>
              <w:left w:type="dxa" w:w="110"/>
              <w:bottom w:type="dxa" w:w="70"/>
              <w:right w:type="dxa" w:w="110"/>
            </w:tcMar>
          </w:tcPr>
          <w:p>
            <w:pPr>
              <w:spacing w:after="0" w:before="0"/>
            </w:pPr>
            <w:r>
              <w:rPr>
                <w:b/>
                <w:bCs/>
                <w:color w:val="13272F"/>
                <w:sz w:val="17"/>
                <w:szCs w:val="17"/>
              </w:rPr>
              <w:t xml:space="preserve">Bank depth</w:t>
            </w:r>
          </w:p>
        </w:tc>
        <w:tc>
          <w:tcPr>
            <w:tcW w:type="dxa" w:w="7979"/>
            <w:shd w:fill="F7FAFB" w:val="clear"/>
            <w:tcMar>
              <w:top w:type="dxa" w:w="70"/>
              <w:left w:type="dxa" w:w="110"/>
              <w:bottom w:type="dxa" w:w="70"/>
              <w:right w:type="dxa" w:w="110"/>
            </w:tcMar>
          </w:tcPr>
          <w:p>
            <w:pPr>
              <w:spacing w:after="0" w:before="0"/>
            </w:pPr>
            <w:r>
              <w:rPr>
                <w:color w:val="13272F"/>
                <w:sz w:val="17"/>
                <w:szCs w:val="17"/>
              </w:rPr>
              <w:t xml:space="preserve">With hundreds of cases, the probability two users discuss the same one drops sharply.</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Case variants</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Same trap, different patient demographics, different incidental details, shuffled reference values. One authored case yields several variants — high value per unit of authoring effort.</w:t>
            </w:r>
          </w:p>
        </w:tc>
      </w:tr>
      <w:tr>
        <w:trPr>
          <w:tblHeader w:val="false"/>
        </w:trPr>
        <w:tc>
          <w:tcPr>
            <w:tcW w:type="dxa" w:w="1381"/>
            <w:shd w:fill="F7FAFB" w:val="clear"/>
            <w:tcMar>
              <w:top w:type="dxa" w:w="70"/>
              <w:left w:type="dxa" w:w="110"/>
              <w:bottom w:type="dxa" w:w="70"/>
              <w:right w:type="dxa" w:w="110"/>
            </w:tcMar>
          </w:tcPr>
          <w:p>
            <w:pPr>
              <w:spacing w:after="0" w:before="0"/>
            </w:pPr>
            <w:r>
              <w:rPr>
                <w:b/>
                <w:bCs/>
                <w:color w:val="13272F"/>
                <w:sz w:val="17"/>
                <w:szCs w:val="17"/>
              </w:rPr>
              <w:t xml:space="preserve">Anomaly detection</w:t>
            </w:r>
          </w:p>
        </w:tc>
        <w:tc>
          <w:tcPr>
            <w:tcW w:type="dxa" w:w="7979"/>
            <w:shd w:fill="F7FAFB" w:val="clear"/>
            <w:tcMar>
              <w:top w:type="dxa" w:w="70"/>
              <w:left w:type="dxa" w:w="110"/>
              <w:bottom w:type="dxa" w:w="70"/>
              <w:right w:type="dxa" w:w="110"/>
            </w:tcMar>
          </w:tcPr>
          <w:p>
            <w:pPr>
              <w:spacing w:after="0" w:before="0"/>
            </w:pPr>
            <w:r>
              <w:rPr>
                <w:color w:val="13272F"/>
                <w:sz w:val="17"/>
                <w:szCs w:val="17"/>
              </w:rPr>
              <w:t xml:space="preserve">Flag sessions that are near-perfect </w:t>
            </w:r>
            <w:r>
              <w:rPr>
                <w:i/>
                <w:iCs/>
                <w:color w:val="13272F"/>
                <w:sz w:val="17"/>
                <w:szCs w:val="17"/>
              </w:rPr>
              <w:t xml:space="preserve">and</w:t>
            </w:r>
            <w:r>
              <w:rPr>
                <w:color w:val="13272F"/>
                <w:sz w:val="17"/>
                <w:szCs w:val="17"/>
              </w:rPr>
              <w:t xml:space="preserve"> unusually fast, or that order exactly the key tests with zero exploratory ones. Surfaced in admin, not punished automatically.</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Difficulty tracking</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If a case's trap rate collapses over time, that is evidence of leakage. Surface it; you can then retire </w:t>
            </w:r>
            <w:r>
              <w:rPr>
                <w:i/>
                <w:iCs/>
                <w:color w:val="13272F"/>
                <w:sz w:val="17"/>
                <w:szCs w:val="17"/>
              </w:rPr>
              <w:t xml:space="preserve">that</w:t>
            </w:r>
            <w:r>
              <w:rPr>
                <w:color w:val="13272F"/>
                <w:sz w:val="17"/>
                <w:szCs w:val="17"/>
              </w:rPr>
              <w:t xml:space="preserve"> case by choice rather than by policy.</w:t>
            </w:r>
          </w:p>
        </w:tc>
      </w:tr>
    </w:tbl>
    <w:p>
      <w:pPr>
        <w:spacing w:after="160"/>
      </w:pPr>
    </w:p>
    <w:p>
      <w:pPr>
        <w:spacing w:after="120" w:before="60" w:line="300"/>
      </w:pPr>
      <w:r>
        <w:rPr>
          <w:b/>
          <w:bCs/>
          <w:color w:val="13272F"/>
          <w:sz w:val="20"/>
          <w:szCs w:val="20"/>
        </w:rPr>
        <w:t xml:space="preserve">Case variants are the highest-leverage item here.</w:t>
      </w:r>
      <w:r>
        <w:rPr>
          <w:color w:val="13272F"/>
          <w:sz w:val="20"/>
          <w:szCs w:val="20"/>
        </w:rPr>
        <w:t xml:space="preserve"> Recommend building variant generation into the Case Factory from the start.</w:t>
      </w:r>
    </w:p>
    <w:p>
      <w:pPr>
        <w:pStyle w:val="Heading2"/>
        <w:spacing w:after="130" w:before="300"/>
      </w:pPr>
      <w:r>
        <w:rPr>
          <w:rFonts w:ascii="Georgia" w:cs="Georgia" w:eastAsia="Georgia" w:hAnsi="Georgia"/>
          <w:b/>
          <w:bCs/>
          <w:color w:val="1F7A8C"/>
          <w:sz w:val="25"/>
          <w:szCs w:val="25"/>
        </w:rPr>
        <w:t xml:space="preserve">4.4 Clinical review workflow</w:t>
      </w:r>
    </w:p>
    <w:p>
      <w:pPr>
        <w:spacing w:after="120" w:before="60" w:line="300"/>
      </w:pPr>
      <w:r>
        <w:rPr>
          <w:color w:val="13272F"/>
          <w:sz w:val="20"/>
          <w:szCs w:val="20"/>
        </w:rPr>
        <w:t xml:space="preserve">You have two qualified clinicians willing to review. Make it a process.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candidate ──► assigned to reviewer ──► reviewer opens Playtest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approve              request changes           reject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published            back to draft           archived</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(signed, dated)      (comments attached)     (reason logged)</w:t>
      </w:r>
    </w:p>
    <w:p>
      <w:pPr>
        <w:spacing w:after="120" w:before="60" w:line="300"/>
      </w:pPr>
      <w:r>
        <w:rPr>
          <w:color w:val="13272F"/>
          <w:sz w:val="20"/>
          <w:szCs w:val="20"/>
        </w:rPr>
        <w:t xml:space="preserve">Stored on the version:</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clinical_reviews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case_version_id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case_versions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reviewer_id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decision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approved | changes_requested | rejected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Structured scoring so review quality is consistent between reviewers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scores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plausibility, consistency, trap_validity, solvability</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comments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reviewed_at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Rule to enforce in code, not policy: no case reaches a paying user without an approving `clinical_reviews` row.</w:t>
      </w:r>
      <w:r>
        <w:rPr>
          <w:color w:val="13272F"/>
          <w:sz w:val="20"/>
          <w:szCs w:val="20"/>
        </w:rPr>
        <w:t xml:space="preserve"> This is both a quality control and, if a user ever complains that a case is clinically wrong, your evidence of diligence.</w:t>
      </w:r>
    </w:p>
    <w:p>
      <w:pPr>
        <w:spacing w:after="120" w:before="60" w:line="300"/>
      </w:pPr>
      <w:r>
        <w:rPr>
          <w:color w:val="13272F"/>
          <w:sz w:val="20"/>
          <w:szCs w:val="20"/>
        </w:rPr>
        <w:t xml:space="preserve">Give your reviewers a </w:t>
      </w:r>
      <w:r>
        <w:rPr>
          <w:b/>
          <w:bCs/>
          <w:color w:val="13272F"/>
          <w:sz w:val="20"/>
          <w:szCs w:val="20"/>
        </w:rPr>
        <w:t xml:space="preserve">structured rubric</w:t>
      </w:r>
      <w:r>
        <w:rPr>
          <w:color w:val="13272F"/>
          <w:sz w:val="20"/>
          <w:szCs w:val="20"/>
        </w:rPr>
        <w:t xml:space="preserve"> rather than a free-text box — plausibility, internal consistency, trap validity, solvability, each 1–5, with rejection below 4. It makes review consistent between two people and produces data you can report.</w:t>
      </w:r>
    </w:p>
    <w:p>
      <w:pPr>
        <w:pStyle w:val="Heading2"/>
        <w:spacing w:after="130" w:before="300"/>
      </w:pPr>
      <w:r>
        <w:rPr>
          <w:rFonts w:ascii="Georgia" w:cs="Georgia" w:eastAsia="Georgia" w:hAnsi="Georgia"/>
          <w:b/>
          <w:bCs/>
          <w:color w:val="1F7A8C"/>
          <w:sz w:val="25"/>
          <w:szCs w:val="25"/>
        </w:rPr>
        <w:t xml:space="preserve">4.5 AI Operations — "how the AI is responding"</w:t>
      </w:r>
    </w:p>
    <w:p>
      <w:pPr>
        <w:spacing w:after="120" w:before="60" w:line="300"/>
      </w:pPr>
      <w:r>
        <w:rPr>
          <w:color w:val="13272F"/>
          <w:sz w:val="20"/>
          <w:szCs w:val="20"/>
        </w:rPr>
        <w:t xml:space="preserve">This is the second thing you specifically asked about, and it is under-served in most products.</w:t>
      </w:r>
    </w:p>
    <w:p>
      <w:pPr>
        <w:pStyle w:val="Heading3"/>
        <w:spacing w:after="100" w:before="220"/>
      </w:pPr>
      <w:r>
        <w:rPr>
          <w:rFonts w:ascii="Georgia" w:cs="Georgia" w:eastAsia="Georgia" w:hAnsi="Georgia"/>
          <w:b/>
          <w:bCs/>
          <w:color w:val="13272F"/>
          <w:sz w:val="22"/>
          <w:szCs w:val="22"/>
        </w:rPr>
        <w:t xml:space="preserve">Conversation Inspector</w:t>
      </w:r>
    </w:p>
    <w:p>
      <w:pPr>
        <w:spacing w:after="120" w:before="60" w:line="300"/>
      </w:pPr>
      <w:r>
        <w:rPr>
          <w:color w:val="13272F"/>
          <w:sz w:val="20"/>
          <w:szCs w:val="20"/>
        </w:rPr>
        <w:t xml:space="preserve">Browse real consultations with filters: case, date, model, flagged status, user report.</w:t>
      </w:r>
    </w:p>
    <w:p>
      <w:pPr>
        <w:spacing w:after="120" w:before="60" w:line="300"/>
      </w:pPr>
      <w:r>
        <w:rPr>
          <w:color w:val="13272F"/>
          <w:sz w:val="20"/>
          <w:szCs w:val="20"/>
        </w:rPr>
        <w:t xml:space="preserve">For each: the full dialogue, which topics each question matched, the detector state at every turn, the model and prompt version used, tokens and cost, latency per call.</w:t>
      </w:r>
    </w:p>
    <w:p>
      <w:pPr>
        <w:spacing w:after="120" w:before="60" w:line="300"/>
      </w:pPr>
      <w:r>
        <w:rPr>
          <w:b/>
          <w:bCs/>
          <w:color w:val="13272F"/>
          <w:sz w:val="20"/>
          <w:szCs w:val="20"/>
        </w:rPr>
        <w:t xml:space="preserve">Sampling policy:</w:t>
      </w:r>
      <w:r>
        <w:rPr>
          <w:color w:val="13272F"/>
          <w:sz w:val="20"/>
          <w:szCs w:val="20"/>
        </w:rPr>
        <w:t xml:space="preserve"> you cannot read everything. Sample deliberately —</w:t>
      </w:r>
    </w:p>
    <w:p>
      <w:pPr>
        <w:pStyle w:val="ListParagraph"/>
        <w:numPr>
          <w:ilvl w:val="0"/>
          <w:numId w:val="1"/>
        </w:numPr>
        <w:spacing w:after="40" w:before="40" w:line="280"/>
      </w:pPr>
      <w:r>
        <w:rPr>
          <w:color w:val="13272F"/>
          <w:sz w:val="20"/>
          <w:szCs w:val="20"/>
        </w:rPr>
        <w:t xml:space="preserve">100 % of user-reported conversations</w:t>
      </w:r>
    </w:p>
    <w:p>
      <w:pPr>
        <w:pStyle w:val="ListParagraph"/>
        <w:numPr>
          <w:ilvl w:val="0"/>
          <w:numId w:val="1"/>
        </w:numPr>
        <w:spacing w:after="40" w:before="40" w:line="280"/>
      </w:pPr>
      <w:r>
        <w:rPr>
          <w:color w:val="13272F"/>
          <w:sz w:val="20"/>
          <w:szCs w:val="20"/>
        </w:rPr>
        <w:t xml:space="preserve">100 % of leakage-flagged conversations</w:t>
      </w:r>
    </w:p>
    <w:p>
      <w:pPr>
        <w:pStyle w:val="ListParagraph"/>
        <w:numPr>
          <w:ilvl w:val="0"/>
          <w:numId w:val="1"/>
        </w:numPr>
        <w:spacing w:after="40" w:before="40" w:line="280"/>
      </w:pPr>
      <w:r>
        <w:rPr>
          <w:color w:val="13272F"/>
          <w:sz w:val="20"/>
          <w:szCs w:val="20"/>
        </w:rPr>
        <w:t xml:space="preserve">~1 % random, for baseline quality</w:t>
      </w:r>
    </w:p>
    <w:p>
      <w:pPr>
        <w:pStyle w:val="ListParagraph"/>
        <w:numPr>
          <w:ilvl w:val="0"/>
          <w:numId w:val="1"/>
        </w:numPr>
        <w:spacing w:after="40" w:before="40" w:line="280"/>
      </w:pPr>
      <w:r>
        <w:rPr>
          <w:color w:val="13272F"/>
          <w:sz w:val="20"/>
          <w:szCs w:val="20"/>
        </w:rPr>
        <w:t xml:space="preserve">100 % of the first 50 sessions after any prompt change</w:t>
      </w:r>
    </w:p>
    <w:p>
      <w:pPr>
        <w:pStyle w:val="Heading3"/>
        <w:spacing w:after="100" w:before="220"/>
      </w:pPr>
      <w:r>
        <w:rPr>
          <w:rFonts w:ascii="Georgia" w:cs="Georgia" w:eastAsia="Georgia" w:hAnsi="Georgia"/>
          <w:b/>
          <w:bCs/>
          <w:color w:val="13272F"/>
          <w:sz w:val="22"/>
          <w:szCs w:val="22"/>
        </w:rPr>
        <w:t xml:space="preserve">Leakage Monitor</w:t>
      </w:r>
    </w:p>
    <w:p>
      <w:pPr>
        <w:spacing w:after="120" w:before="60" w:line="300"/>
      </w:pPr>
      <w:r>
        <w:rPr>
          <w:color w:val="13272F"/>
          <w:sz w:val="20"/>
          <w:szCs w:val="20"/>
        </w:rPr>
        <w:t xml:space="preserve">The concrete implementation of v1 §11.4, and the biggest threat to your measurement.</w:t>
      </w:r>
    </w:p>
    <w:p>
      <w:pPr>
        <w:spacing w:after="120" w:before="60" w:line="300"/>
      </w:pPr>
      <w:r>
        <w:rPr>
          <w:b/>
          <w:bCs/>
          <w:color w:val="13272F"/>
          <w:sz w:val="20"/>
          <w:szCs w:val="20"/>
        </w:rPr>
        <w:t xml:space="preserve">The problem:</w:t>
      </w:r>
      <w:r>
        <w:rPr>
          <w:color w:val="13272F"/>
          <w:sz w:val="20"/>
          <w:szCs w:val="20"/>
        </w:rPr>
        <w:t xml:space="preserve"> if the patient volunteers the ibuprofen history without being asked, coverage measures the model, not the student.</w:t>
      </w:r>
    </w:p>
    <w:p>
      <w:pPr>
        <w:spacing w:after="120" w:before="60" w:line="300"/>
      </w:pPr>
      <w:r>
        <w:rPr>
          <w:b/>
          <w:bCs/>
          <w:color w:val="13272F"/>
          <w:sz w:val="20"/>
          <w:szCs w:val="20"/>
        </w:rPr>
        <w:t xml:space="preserve">Detection:</w:t>
      </w:r>
      <w:r>
        <w:rPr>
          <w:color w:val="13272F"/>
          <w:sz w:val="20"/>
          <w:szCs w:val="20"/>
        </w:rPr>
        <w:t xml:space="preserve"> after each patient reply, check whether it contains a fact tied to a required topic that the student's question did not ask about.</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def</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detect_leakage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question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reply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 -&gt; </w:t>
      </w:r>
      <w:r>
        <w:rPr>
          <w:rFonts w:ascii="Consolas" w:cs="Consolas" w:eastAsia="Consolas" w:hAnsi="Consolas"/>
          <w:color w:val="13272F"/>
          <w:sz w:val="16"/>
          <w:szCs w:val="16"/>
        </w:rPr>
        <w:t xml:space="preserve">LeakageReport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asked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extract_topics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question</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what they asked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revealed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extract_topics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reply</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what came back</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revealed</w:t>
      </w:r>
      <w:r>
        <w:rPr>
          <w:rFonts w:ascii="Consolas" w:cs="Consolas" w:eastAsia="Consolas" w:hAnsi="Consolas"/>
          <w:color w:val="13272F"/>
          <w:sz w:val="16"/>
          <w:szCs w:val="16"/>
        </w:rPr>
        <w:t xml:space="preserve">) &amp;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required_topics</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asked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return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LeakageReport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leaked_topics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severity</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"high"</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if</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 &amp;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key_topics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else</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"low"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    )</w:t>
      </w:r>
    </w:p>
    <w:p>
      <w:pPr>
        <w:spacing w:after="120" w:before="60" w:line="300"/>
      </w:pPr>
      <w:r>
        <w:rPr>
          <w:color w:val="13272F"/>
          <w:sz w:val="20"/>
          <w:szCs w:val="20"/>
        </w:rPr>
        <w:t xml:space="preserve">Flagged conversations land in an admin queue. Confirmed leaks:</w:t>
      </w:r>
    </w:p>
    <w:p>
      <w:pPr>
        <w:pStyle w:val="ListParagraph"/>
        <w:numPr>
          <w:ilvl w:val="0"/>
          <w:numId w:val="1"/>
        </w:numPr>
        <w:spacing w:after="40" w:before="40" w:line="280"/>
      </w:pPr>
      <w:r>
        <w:rPr>
          <w:color w:val="13272F"/>
          <w:sz w:val="20"/>
          <w:szCs w:val="20"/>
        </w:rPr>
        <w:t xml:space="preserve">Exclude the session from research analysis</w:t>
      </w:r>
    </w:p>
    <w:p>
      <w:pPr>
        <w:pStyle w:val="ListParagraph"/>
        <w:numPr>
          <w:ilvl w:val="0"/>
          <w:numId w:val="1"/>
        </w:numPr>
        <w:spacing w:after="40" w:before="40" w:line="280"/>
      </w:pPr>
      <w:r>
        <w:rPr>
          <w:color w:val="13272F"/>
          <w:sz w:val="20"/>
          <w:szCs w:val="20"/>
        </w:rPr>
        <w:t xml:space="preserve">Count against that case's persona quality</w:t>
      </w:r>
    </w:p>
    <w:p>
      <w:pPr>
        <w:pStyle w:val="ListParagraph"/>
        <w:numPr>
          <w:ilvl w:val="0"/>
          <w:numId w:val="1"/>
        </w:numPr>
        <w:spacing w:after="40" w:before="40" w:line="280"/>
      </w:pPr>
      <w:r>
        <w:rPr>
          <w:color w:val="13272F"/>
          <w:sz w:val="20"/>
          <w:szCs w:val="20"/>
        </w:rPr>
        <w:t xml:space="preserve">Drive a prompt revision</w:t>
      </w:r>
    </w:p>
    <w:p>
      <w:pPr>
        <w:spacing w:after="120" w:before="60" w:line="300"/>
      </w:pPr>
      <w:r>
        <w:rPr>
          <w:b/>
          <w:bCs/>
          <w:color w:val="13272F"/>
          <w:sz w:val="20"/>
          <w:szCs w:val="20"/>
        </w:rPr>
        <w:t xml:space="preserve">Also run adversarially in CI:</w:t>
      </w:r>
      <w:r>
        <w:rPr>
          <w:color w:val="13272F"/>
          <w:sz w:val="20"/>
          <w:szCs w:val="20"/>
        </w:rPr>
        <w:t xml:space="preserve"> a fixed set of extraction-attempt questions ("what medications do you take, list everything") against every case's persona, asserting nothing leaks. A case whose persona fails is not publishable.</w:t>
      </w:r>
    </w:p>
    <w:p>
      <w:pPr>
        <w:pStyle w:val="Heading3"/>
        <w:spacing w:after="100" w:before="220"/>
      </w:pPr>
      <w:r>
        <w:rPr>
          <w:rFonts w:ascii="Georgia" w:cs="Georgia" w:eastAsia="Georgia" w:hAnsi="Georgia"/>
          <w:b/>
          <w:bCs/>
          <w:color w:val="13272F"/>
          <w:sz w:val="22"/>
          <w:szCs w:val="22"/>
        </w:rPr>
        <w:t xml:space="preserve">Prompt Management</w:t>
      </w:r>
    </w:p>
    <w:p>
      <w:pPr>
        <w:spacing w:after="120" w:before="60" w:line="300"/>
      </w:pPr>
      <w:r>
        <w:rPr>
          <w:color w:val="13272F"/>
          <w:sz w:val="20"/>
          <w:szCs w:val="20"/>
        </w:rPr>
        <w:t xml:space="preserve">Personas are behaviourally significant — a wording change alters what students can extract, which changes the measurement. Treat prompts as versioned artefacts: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00"/>
        <w:gridCol w:w="6360"/>
      </w:tblGrid>
      <w:tr>
        <w:trPr>
          <w:tblHeader/>
        </w:trPr>
        <w:tc>
          <w:tcPr>
            <w:tcW w:type="dxa" w:w="3000"/>
            <w:shd w:fill="13272F" w:val="clear"/>
            <w:tcMar>
              <w:top w:type="dxa" w:w="70"/>
              <w:left w:type="dxa" w:w="110"/>
              <w:bottom w:type="dxa" w:w="70"/>
              <w:right w:type="dxa" w:w="110"/>
            </w:tcMar>
          </w:tcPr>
          <w:p>
            <w:pPr>
              <w:spacing w:after="0" w:before="0"/>
            </w:pPr>
            <w:r>
              <w:rPr>
                <w:b/>
                <w:bCs/>
                <w:color w:val="FFFFFF"/>
                <w:sz w:val="17"/>
                <w:szCs w:val="17"/>
              </w:rPr>
              <w:t xml:space="preserve">Feature</w:t>
            </w:r>
          </w:p>
        </w:tc>
        <w:tc>
          <w:tcPr>
            <w:tcW w:type="dxa" w:w="6360"/>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Version history with diff</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Know exactly what changed and when</w:t>
            </w:r>
          </w:p>
        </w:tc>
      </w:tr>
      <w:tr>
        <w:trPr>
          <w:tblHeader w:val="false"/>
        </w:trPr>
        <w:tc>
          <w:tcPr>
            <w:tcW w:type="dxa" w:w="3000"/>
            <w:shd w:fill="F7FAFB" w:val="clear"/>
            <w:tcMar>
              <w:top w:type="dxa" w:w="70"/>
              <w:left w:type="dxa" w:w="110"/>
              <w:bottom w:type="dxa" w:w="70"/>
              <w:right w:type="dxa" w:w="110"/>
            </w:tcMar>
          </w:tcPr>
          <w:p>
            <w:pPr>
              <w:spacing w:after="0" w:before="0"/>
            </w:pPr>
            <w:r>
              <w:rPr>
                <w:color w:val="13272F"/>
                <w:sz w:val="17"/>
                <w:szCs w:val="17"/>
              </w:rPr>
              <w:t xml:space="preserve">Per-version metrics</w:t>
            </w:r>
          </w:p>
        </w:tc>
        <w:tc>
          <w:tcPr>
            <w:tcW w:type="dxa" w:w="6360"/>
            <w:shd w:fill="F7FAFB" w:val="clear"/>
            <w:tcMar>
              <w:top w:type="dxa" w:w="70"/>
              <w:left w:type="dxa" w:w="110"/>
              <w:bottom w:type="dxa" w:w="70"/>
              <w:right w:type="dxa" w:w="110"/>
            </w:tcMar>
          </w:tcPr>
          <w:p>
            <w:pPr>
              <w:spacing w:after="0" w:before="0"/>
            </w:pPr>
            <w:r>
              <w:rPr>
                <w:color w:val="13272F"/>
                <w:sz w:val="17"/>
                <w:szCs w:val="17"/>
              </w:rPr>
              <w:t xml:space="preserve">Leakage rate, average reply length, in-character rate</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A/B testing</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Route a percentage of sessions to a candidate prompt</w:t>
            </w:r>
          </w:p>
        </w:tc>
      </w:tr>
      <w:tr>
        <w:trPr>
          <w:tblHeader w:val="false"/>
        </w:trPr>
        <w:tc>
          <w:tcPr>
            <w:tcW w:type="dxa" w:w="3000"/>
            <w:shd w:fill="F7FAFB" w:val="clear"/>
            <w:tcMar>
              <w:top w:type="dxa" w:w="70"/>
              <w:left w:type="dxa" w:w="110"/>
              <w:bottom w:type="dxa" w:w="70"/>
              <w:right w:type="dxa" w:w="110"/>
            </w:tcMar>
          </w:tcPr>
          <w:p>
            <w:pPr>
              <w:spacing w:after="0" w:before="0"/>
            </w:pPr>
            <w:r>
              <w:rPr>
                <w:color w:val="13272F"/>
                <w:sz w:val="17"/>
                <w:szCs w:val="17"/>
              </w:rPr>
              <w:t xml:space="preserve">Rollback</w:t>
            </w:r>
          </w:p>
        </w:tc>
        <w:tc>
          <w:tcPr>
            <w:tcW w:type="dxa" w:w="6360"/>
            <w:shd w:fill="F7FAFB" w:val="clear"/>
            <w:tcMar>
              <w:top w:type="dxa" w:w="70"/>
              <w:left w:type="dxa" w:w="110"/>
              <w:bottom w:type="dxa" w:w="70"/>
              <w:right w:type="dxa" w:w="110"/>
            </w:tcMar>
          </w:tcPr>
          <w:p>
            <w:pPr>
              <w:spacing w:after="0" w:before="0"/>
            </w:pPr>
            <w:r>
              <w:rPr>
                <w:color w:val="13272F"/>
                <w:sz w:val="17"/>
                <w:szCs w:val="17"/>
              </w:rPr>
              <w:t xml:space="preserve">One click back to a known-good version</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Session stamping</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Every session records the prompt version used</w:t>
            </w:r>
          </w:p>
        </w:tc>
      </w:tr>
    </w:tbl>
    <w:p>
      <w:pPr>
        <w:spacing w:after="160"/>
      </w:pPr>
    </w:p>
    <w:p>
      <w:pPr>
        <w:spacing w:after="120" w:before="60" w:line="300"/>
      </w:pPr>
      <w:r>
        <w:rPr>
          <w:color w:val="13272F"/>
          <w:sz w:val="20"/>
          <w:szCs w:val="20"/>
        </w:rPr>
        <w:t xml:space="preserve">Without stamping, a prompt change silently splits your dataset into incomparable halves.</w:t>
      </w:r>
    </w:p>
    <w:p>
      <w:pPr>
        <w:pStyle w:val="Heading3"/>
        <w:spacing w:after="100" w:before="220"/>
      </w:pPr>
      <w:r>
        <w:rPr>
          <w:rFonts w:ascii="Georgia" w:cs="Georgia" w:eastAsia="Georgia" w:hAnsi="Georgia"/>
          <w:b/>
          <w:bCs/>
          <w:color w:val="13272F"/>
          <w:sz w:val="22"/>
          <w:szCs w:val="22"/>
        </w:rPr>
        <w:t xml:space="preserve">Usage and Cost</w:t>
      </w:r>
    </w:p>
    <w:p>
      <w:pPr>
        <w:spacing w:after="120" w:before="60" w:line="300"/>
      </w:pPr>
      <w:r>
        <w:rPr>
          <w:color w:val="13272F"/>
          <w:sz w:val="20"/>
          <w:szCs w:val="20"/>
        </w:rPr>
        <w:t xml:space="preserve">The dashboard that determines whether the business works:</w:t>
      </w:r>
    </w:p>
    <w:p>
      <w:pPr>
        <w:pStyle w:val="ListParagraph"/>
        <w:numPr>
          <w:ilvl w:val="0"/>
          <w:numId w:val="1"/>
        </w:numPr>
        <w:spacing w:after="40" w:before="40" w:line="280"/>
      </w:pPr>
      <w:r>
        <w:rPr>
          <w:color w:val="13272F"/>
          <w:sz w:val="20"/>
          <w:szCs w:val="20"/>
        </w:rPr>
        <w:t xml:space="preserve">Spend today / this month, against budget</w:t>
      </w:r>
    </w:p>
    <w:p>
      <w:pPr>
        <w:pStyle w:val="ListParagraph"/>
        <w:numPr>
          <w:ilvl w:val="0"/>
          <w:numId w:val="1"/>
        </w:numPr>
        <w:spacing w:after="40" w:before="40" w:line="280"/>
      </w:pPr>
      <w:r>
        <w:rPr>
          <w:color w:val="13272F"/>
          <w:sz w:val="20"/>
          <w:szCs w:val="20"/>
        </w:rPr>
        <w:t xml:space="preserve">Cost </w:t>
      </w:r>
      <w:r>
        <w:rPr>
          <w:b/>
          <w:bCs/>
          <w:color w:val="13272F"/>
          <w:sz w:val="20"/>
          <w:szCs w:val="20"/>
        </w:rPr>
        <w:t xml:space="preserve">per completed session</w:t>
      </w:r>
      <w:r>
        <w:rPr>
          <w:color w:val="13272F"/>
          <w:sz w:val="20"/>
          <w:szCs w:val="20"/>
        </w:rPr>
        <w:t xml:space="preserve"> — the unit economic. If this exceeds your per-user revenue, the product does not work.</w:t>
      </w:r>
    </w:p>
    <w:p>
      <w:pPr>
        <w:pStyle w:val="ListParagraph"/>
        <w:numPr>
          <w:ilvl w:val="0"/>
          <w:numId w:val="1"/>
        </w:numPr>
        <w:spacing w:after="40" w:before="40" w:line="280"/>
      </w:pPr>
      <w:r>
        <w:rPr>
          <w:color w:val="13272F"/>
          <w:sz w:val="20"/>
          <w:szCs w:val="20"/>
        </w:rPr>
        <w:t xml:space="preserve">Tokens by model and by purpose (patient · feedback · extraction · judge)</w:t>
      </w:r>
    </w:p>
    <w:p>
      <w:pPr>
        <w:pStyle w:val="ListParagraph"/>
        <w:numPr>
          <w:ilvl w:val="0"/>
          <w:numId w:val="1"/>
        </w:numPr>
        <w:spacing w:after="40" w:before="40" w:line="280"/>
      </w:pPr>
      <w:r>
        <w:rPr>
          <w:color w:val="13272F"/>
          <w:sz w:val="20"/>
          <w:szCs w:val="20"/>
        </w:rPr>
        <w:t xml:space="preserve">Latency p50/p95/p99 per model</w:t>
      </w:r>
    </w:p>
    <w:p>
      <w:pPr>
        <w:pStyle w:val="ListParagraph"/>
        <w:numPr>
          <w:ilvl w:val="0"/>
          <w:numId w:val="1"/>
        </w:numPr>
        <w:spacing w:after="40" w:before="40" w:line="280"/>
      </w:pPr>
      <w:r>
        <w:rPr>
          <w:color w:val="13272F"/>
          <w:sz w:val="20"/>
          <w:szCs w:val="20"/>
        </w:rPr>
        <w:t xml:space="preserve">Error rate, retry rate, circuit-breaker trips, fallback rate</w:t>
      </w:r>
    </w:p>
    <w:p>
      <w:pPr>
        <w:pStyle w:val="ListParagraph"/>
        <w:numPr>
          <w:ilvl w:val="0"/>
          <w:numId w:val="1"/>
        </w:numPr>
        <w:spacing w:after="40" w:before="40" w:line="280"/>
      </w:pPr>
      <w:r>
        <w:rPr>
          <w:color w:val="13272F"/>
          <w:sz w:val="20"/>
          <w:szCs w:val="20"/>
        </w:rPr>
        <w:t xml:space="preserve">Per-user consumption, to catch abuse</w:t>
      </w:r>
    </w:p>
    <w:p>
      <w:pPr>
        <w:spacing w:after="120" w:before="60" w:line="300"/>
      </w:pPr>
      <w:r>
        <w:rPr>
          <w:b/>
          <w:bCs/>
          <w:color w:val="13272F"/>
          <w:sz w:val="20"/>
          <w:szCs w:val="20"/>
        </w:rPr>
        <w:t xml:space="preserve">Hard budget caps with automatic degradation.</w:t>
      </w:r>
      <w:r>
        <w:rPr>
          <w:color w:val="13272F"/>
          <w:sz w:val="20"/>
          <w:szCs w:val="20"/>
        </w:rPr>
        <w:t xml:space="preserve"> At 80 % of monthly budget, alert. At 100 %, switch the patient model to the cheapest available and serve rule-based feedback rather than failing. A learning app that stops working is worse than one that is briefly less eloquent.</w:t>
      </w:r>
    </w:p>
    <w:p>
      <w:pPr>
        <w:pStyle w:val="Heading2"/>
        <w:spacing w:after="130" w:before="300"/>
      </w:pPr>
      <w:r>
        <w:rPr>
          <w:rFonts w:ascii="Georgia" w:cs="Georgia" w:eastAsia="Georgia" w:hAnsi="Georgia"/>
          <w:b/>
          <w:bCs/>
          <w:color w:val="1F7A8C"/>
          <w:sz w:val="25"/>
          <w:szCs w:val="25"/>
        </w:rPr>
        <w:t xml:space="preserve">4.6 Clinical content management</w:t>
      </w:r>
    </w:p>
    <w:p>
      <w:pPr>
        <w:spacing w:after="120" w:before="60" w:line="300"/>
      </w:pPr>
      <w:r>
        <w:rPr>
          <w:color w:val="13272F"/>
          <w:sz w:val="20"/>
          <w:szCs w:val="20"/>
        </w:rPr>
        <w:t xml:space="preserve">Your explicit ask: adding lab exams and investigations without touching code.</w:t>
      </w:r>
    </w:p>
    <w:p>
      <w:pPr>
        <w:pStyle w:val="Heading3"/>
        <w:spacing w:after="100" w:before="220"/>
      </w:pPr>
      <w:r>
        <w:rPr>
          <w:rFonts w:ascii="Georgia" w:cs="Georgia" w:eastAsia="Georgia" w:hAnsi="Georgia"/>
          <w:b/>
          <w:bCs/>
          <w:color w:val="13272F"/>
          <w:sz w:val="22"/>
          <w:szCs w:val="22"/>
        </w:rPr>
        <w:t xml:space="preserve">Examinations (27) and Investigations (86)</w:t>
      </w:r>
    </w:p>
    <w:p>
      <w:pPr>
        <w:spacing w:after="120" w:before="60" w:line="300"/>
      </w:pPr>
      <w:r>
        <w:rPr>
          <w:color w:val="13272F"/>
          <w:sz w:val="20"/>
          <w:szCs w:val="20"/>
        </w:rPr>
        <w:t xml:space="preserve">Each entry becomes a database row, editable in the console: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60"/>
        <w:gridCol w:w="7200"/>
      </w:tblGrid>
      <w:tr>
        <w:trPr>
          <w:tblHeader/>
        </w:trPr>
        <w:tc>
          <w:tcPr>
            <w:tcW w:type="dxa" w:w="2160"/>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200"/>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Key</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Stable identifier, immutable once used by any case</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Label</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Display name</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Group</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Specialty grouping for the menu</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Normal result</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Returned when a case defines no specific finding</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Reference range</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Optional structured min/max/unit</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Active</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Soft-disable without deleting</w:t>
            </w:r>
          </w:p>
        </w:tc>
      </w:tr>
    </w:tbl>
    <w:p>
      <w:pPr>
        <w:spacing w:after="160"/>
      </w:pPr>
    </w:p>
    <w:p>
      <w:pPr>
        <w:spacing w:after="120" w:before="60" w:line="300"/>
      </w:pPr>
      <w:r>
        <w:rPr>
          <w:b/>
          <w:bCs/>
          <w:color w:val="13272F"/>
          <w:sz w:val="20"/>
          <w:szCs w:val="20"/>
        </w:rPr>
        <w:t xml:space="preserve">Adding an investigation is a genuinely dangerous operation</w:t>
      </w:r>
      <w:r>
        <w:rPr>
          <w:color w:val="13272F"/>
          <w:sz w:val="20"/>
          <w:szCs w:val="20"/>
        </w:rPr>
        <w:t xml:space="preserve"> and the console must say so. The universal menu's entire purpose is that it is </w:t>
      </w:r>
      <w:r>
        <w:rPr>
          <w:i/>
          <w:iCs/>
          <w:color w:val="13272F"/>
          <w:sz w:val="20"/>
          <w:szCs w:val="20"/>
        </w:rPr>
        <w:t xml:space="preserve">identical across every case</w:t>
      </w:r>
      <w:r>
        <w:rPr>
          <w:color w:val="13272F"/>
          <w:sz w:val="20"/>
          <w:szCs w:val="20"/>
        </w:rPr>
        <w:t xml:space="preserve">. Adding item 87 means every existing case now has an option with only a normal result — which is fine — but adding an item that is obviously relevant to one specific case leaks that case's diagnosis.</w:t>
      </w:r>
    </w:p>
    <w:p>
      <w:pPr>
        <w:spacing w:after="120" w:before="60" w:line="300"/>
      </w:pPr>
      <w:r>
        <w:rPr>
          <w:b/>
          <w:bCs/>
          <w:color w:val="13272F"/>
          <w:sz w:val="20"/>
          <w:szCs w:val="20"/>
        </w:rPr>
        <w:t xml:space="preserve">Guardrail:</w:t>
      </w:r>
      <w:r>
        <w:rPr>
          <w:color w:val="13272F"/>
          <w:sz w:val="20"/>
          <w:szCs w:val="20"/>
        </w:rPr>
        <w:t xml:space="preserve"> when adding an investigation, the console requires a normal result and warns that no existing case will return an abnormal finding for it. Removal is disabled entirely for keys referenced by any published case — soft-disable only.</w:t>
      </w:r>
    </w:p>
    <w:p>
      <w:pPr>
        <w:pStyle w:val="Heading3"/>
        <w:spacing w:after="100" w:before="220"/>
      </w:pPr>
      <w:r>
        <w:rPr>
          <w:rFonts w:ascii="Georgia" w:cs="Georgia" w:eastAsia="Georgia" w:hAnsi="Georgia"/>
          <w:b/>
          <w:bCs/>
          <w:color w:val="13272F"/>
          <w:sz w:val="22"/>
          <w:szCs w:val="22"/>
        </w:rPr>
        <w:t xml:space="preserve">Topic Lexicon</w:t>
      </w:r>
    </w:p>
    <w:p>
      <w:pPr>
        <w:spacing w:after="120" w:before="60" w:line="300"/>
      </w:pPr>
      <w:r>
        <w:rPr>
          <w:color w:val="13272F"/>
          <w:sz w:val="20"/>
          <w:szCs w:val="20"/>
        </w:rPr>
        <w:t xml:space="preserve">The 523 phrases across 40 topics, currently hard-coded in </w:t>
      </w:r>
      <w:r>
        <w:rPr>
          <w:rFonts w:ascii="Consolas" w:cs="Consolas" w:eastAsia="Consolas" w:hAnsi="Consolas"/>
          <w:color w:val="B3651F"/>
          <w:sz w:val="18"/>
          <w:szCs w:val="18"/>
        </w:rPr>
        <w:t xml:space="preserve">session_tracker.py</w:t>
      </w:r>
      <w:r>
        <w:rPr>
          <w:color w:val="13272F"/>
          <w:sz w:val="20"/>
          <w:szCs w:val="20"/>
        </w:rPr>
        <w:t xml:space="preserve">.</w:t>
      </w:r>
    </w:p>
    <w:p>
      <w:pPr>
        <w:spacing w:after="120" w:before="60" w:line="300"/>
      </w:pPr>
      <w:r>
        <w:rPr>
          <w:color w:val="13272F"/>
          <w:sz w:val="20"/>
          <w:szCs w:val="20"/>
        </w:rPr>
        <w:t xml:space="preserve">Editing them in the console needs one feature to be safe: </w:t>
      </w:r>
      <w:r>
        <w:rPr>
          <w:b/>
          <w:bCs/>
          <w:color w:val="13272F"/>
          <w:sz w:val="20"/>
          <w:szCs w:val="20"/>
        </w:rPr>
        <w:t xml:space="preserve">a live match tester.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Test a question: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does a rich evening dinner set it off?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Keyword matches:   (none)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Embedding matches: meal_relationship  0.81  ✓ above threshold</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Result:            meal_relationship COVERED (semantic)</w:t>
      </w:r>
    </w:p>
    <w:p>
      <w:pPr>
        <w:spacing w:after="120" w:before="60" w:line="300"/>
      </w:pPr>
      <w:r>
        <w:rPr>
          <w:color w:val="13272F"/>
          <w:sz w:val="20"/>
          <w:szCs w:val="20"/>
        </w:rPr>
        <w:t xml:space="preserve">This lets a non-programmer answer "why didn't the system recognise that question?" — and it is how the lexicon gets improved by the people who understand clinical phrasing.</w:t>
      </w:r>
    </w:p>
    <w:p>
      <w:pPr>
        <w:spacing w:after="120" w:before="60" w:line="300"/>
      </w:pPr>
      <w:r>
        <w:rPr>
          <w:b/>
          <w:bCs/>
          <w:color w:val="13272F"/>
          <w:sz w:val="20"/>
          <w:szCs w:val="20"/>
        </w:rPr>
        <w:t xml:space="preserve">Also surface dead phrases:</w:t>
      </w:r>
      <w:r>
        <w:rPr>
          <w:color w:val="13272F"/>
          <w:sz w:val="20"/>
          <w:szCs w:val="20"/>
        </w:rPr>
        <w:t xml:space="preserve"> any phrase that has never matched a real question in 90 days is noise. Reviewing those keeps the lexicon honest.</w:t>
      </w:r>
    </w:p>
    <w:p>
      <w:pPr>
        <w:pStyle w:val="Heading2"/>
        <w:spacing w:after="130" w:before="300"/>
      </w:pPr>
      <w:r>
        <w:rPr>
          <w:rFonts w:ascii="Georgia" w:cs="Georgia" w:eastAsia="Georgia" w:hAnsi="Georgia"/>
          <w:b/>
          <w:bCs/>
          <w:color w:val="1F7A8C"/>
          <w:sz w:val="25"/>
          <w:szCs w:val="25"/>
        </w:rPr>
        <w:t xml:space="preserve">4.7 Users and support</w:t>
      </w:r>
    </w:p>
    <w:p>
      <w:pPr>
        <w:spacing w:after="120" w:before="60" w:line="300"/>
      </w:pPr>
      <w:r>
        <w:rPr>
          <w:color w:val="13272F"/>
          <w:sz w:val="20"/>
          <w:szCs w:val="20"/>
        </w:rPr>
        <w:t xml:space="preserve">Directory with search, filters (tier, role, activity, country), and per-user detail.</w:t>
      </w:r>
    </w:p>
    <w:p>
      <w:pPr>
        <w:spacing w:after="120" w:before="60" w:line="300"/>
      </w:pPr>
      <w:r>
        <w:rPr>
          <w:b/>
          <w:bCs/>
          <w:color w:val="13272F"/>
          <w:sz w:val="20"/>
          <w:szCs w:val="20"/>
        </w:rPr>
        <w:t xml:space="preserve">Support access must be bounded.</w:t>
      </w:r>
      <w:r>
        <w:rPr>
          <w:color w:val="13272F"/>
          <w:sz w:val="20"/>
          <w:szCs w:val="20"/>
        </w:rPr>
        <w:t xml:space="preserve"> A user writes in saying "the feedback was wrong on my last case." You need to see that session. You do </w:t>
      </w:r>
      <w:r>
        <w:rPr>
          <w:b/>
          <w:bCs/>
          <w:color w:val="13272F"/>
          <w:sz w:val="20"/>
          <w:szCs w:val="20"/>
        </w:rPr>
        <w:t xml:space="preserve">not</w:t>
      </w:r>
      <w:r>
        <w:rPr>
          <w:color w:val="13272F"/>
          <w:sz w:val="20"/>
          <w:szCs w:val="20"/>
        </w:rPr>
        <w:t xml:space="preserve"> need standing access to everyone's transcripts.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11"/>
        <w:gridCol w:w="7549"/>
      </w:tblGrid>
      <w:tr>
        <w:trPr>
          <w:tblHeader/>
        </w:trPr>
        <w:tc>
          <w:tcPr>
            <w:tcW w:type="dxa" w:w="1811"/>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7549"/>
            <w:shd w:fill="13272F" w:val="clear"/>
            <w:tcMar>
              <w:top w:type="dxa" w:w="70"/>
              <w:left w:type="dxa" w:w="110"/>
              <w:bottom w:type="dxa" w:w="70"/>
              <w:right w:type="dxa" w:w="110"/>
            </w:tcMar>
          </w:tcPr>
          <w:p>
            <w:pPr>
              <w:spacing w:after="0" w:before="0"/>
            </w:pPr>
            <w:r>
              <w:rPr>
                <w:b/>
                <w:bCs/>
                <w:color w:val="FFFFFF"/>
                <w:sz w:val="17"/>
                <w:szCs w:val="17"/>
              </w:rPr>
              <w:t xml:space="preserve">Rule</w:t>
            </w:r>
          </w:p>
        </w:tc>
      </w:tr>
      <w:tr>
        <w:trPr>
          <w:tblHeader w:val="false"/>
        </w:trPr>
        <w:tc>
          <w:tcPr>
            <w:tcW w:type="dxa" w:w="1811"/>
            <w:shd w:fill="FFFFFF" w:val="clear"/>
            <w:tcMar>
              <w:top w:type="dxa" w:w="70"/>
              <w:left w:type="dxa" w:w="110"/>
              <w:bottom w:type="dxa" w:w="70"/>
              <w:right w:type="dxa" w:w="110"/>
            </w:tcMar>
          </w:tcPr>
          <w:p>
            <w:pPr>
              <w:spacing w:after="0" w:before="0"/>
            </w:pPr>
            <w:r>
              <w:rPr>
                <w:color w:val="13272F"/>
                <w:sz w:val="17"/>
                <w:szCs w:val="17"/>
              </w:rPr>
              <w:t xml:space="preserve">Session inspection</w:t>
            </w:r>
          </w:p>
        </w:tc>
        <w:tc>
          <w:tcPr>
            <w:tcW w:type="dxa" w:w="7549"/>
            <w:shd w:fill="FFFFFF" w:val="clear"/>
            <w:tcMar>
              <w:top w:type="dxa" w:w="70"/>
              <w:left w:type="dxa" w:w="110"/>
              <w:bottom w:type="dxa" w:w="70"/>
              <w:right w:type="dxa" w:w="110"/>
            </w:tcMar>
          </w:tcPr>
          <w:p>
            <w:pPr>
              <w:spacing w:after="0" w:before="0"/>
            </w:pPr>
            <w:r>
              <w:rPr>
                <w:color w:val="13272F"/>
                <w:sz w:val="17"/>
                <w:szCs w:val="17"/>
              </w:rPr>
              <w:t xml:space="preserve">Requires a stated reason, logged to </w:t>
            </w:r>
            <w:r>
              <w:rPr>
                <w:rFonts w:ascii="Consolas" w:cs="Consolas" w:eastAsia="Consolas" w:hAnsi="Consolas"/>
                <w:color w:val="B3651F"/>
                <w:sz w:val="15"/>
                <w:szCs w:val="15"/>
              </w:rPr>
              <w:t xml:space="preserve">audit_log</w:t>
            </w:r>
          </w:p>
        </w:tc>
      </w:tr>
      <w:tr>
        <w:trPr>
          <w:tblHeader w:val="false"/>
        </w:trPr>
        <w:tc>
          <w:tcPr>
            <w:tcW w:type="dxa" w:w="1811"/>
            <w:shd w:fill="F7FAFB" w:val="clear"/>
            <w:tcMar>
              <w:top w:type="dxa" w:w="70"/>
              <w:left w:type="dxa" w:w="110"/>
              <w:bottom w:type="dxa" w:w="70"/>
              <w:right w:type="dxa" w:w="110"/>
            </w:tcMar>
          </w:tcPr>
          <w:p>
            <w:pPr>
              <w:spacing w:after="0" w:before="0"/>
            </w:pPr>
            <w:r>
              <w:rPr>
                <w:color w:val="13272F"/>
                <w:sz w:val="17"/>
                <w:szCs w:val="17"/>
              </w:rPr>
              <w:t xml:space="preserve">Time-boxed</w:t>
            </w:r>
          </w:p>
        </w:tc>
        <w:tc>
          <w:tcPr>
            <w:tcW w:type="dxa" w:w="7549"/>
            <w:shd w:fill="F7FAFB" w:val="clear"/>
            <w:tcMar>
              <w:top w:type="dxa" w:w="70"/>
              <w:left w:type="dxa" w:w="110"/>
              <w:bottom w:type="dxa" w:w="70"/>
              <w:right w:type="dxa" w:w="110"/>
            </w:tcMar>
          </w:tcPr>
          <w:p>
            <w:pPr>
              <w:spacing w:after="0" w:before="0"/>
            </w:pPr>
            <w:r>
              <w:rPr>
                <w:color w:val="13272F"/>
                <w:sz w:val="17"/>
                <w:szCs w:val="17"/>
              </w:rPr>
              <w:t xml:space="preserve">Access expires after 24 hours</w:t>
            </w:r>
          </w:p>
        </w:tc>
      </w:tr>
      <w:tr>
        <w:trPr>
          <w:tblHeader w:val="false"/>
        </w:trPr>
        <w:tc>
          <w:tcPr>
            <w:tcW w:type="dxa" w:w="1811"/>
            <w:shd w:fill="FFFFFF" w:val="clear"/>
            <w:tcMar>
              <w:top w:type="dxa" w:w="70"/>
              <w:left w:type="dxa" w:w="110"/>
              <w:bottom w:type="dxa" w:w="70"/>
              <w:right w:type="dxa" w:w="110"/>
            </w:tcMar>
          </w:tcPr>
          <w:p>
            <w:pPr>
              <w:spacing w:after="0" w:before="0"/>
            </w:pPr>
            <w:r>
              <w:rPr>
                <w:color w:val="13272F"/>
                <w:sz w:val="17"/>
                <w:szCs w:val="17"/>
              </w:rPr>
              <w:t xml:space="preserve">User-visible</w:t>
            </w:r>
          </w:p>
        </w:tc>
        <w:tc>
          <w:tcPr>
            <w:tcW w:type="dxa" w:w="7549"/>
            <w:shd w:fill="FFFFFF" w:val="clear"/>
            <w:tcMar>
              <w:top w:type="dxa" w:w="70"/>
              <w:left w:type="dxa" w:w="110"/>
              <w:bottom w:type="dxa" w:w="70"/>
              <w:right w:type="dxa" w:w="110"/>
            </w:tcMar>
          </w:tcPr>
          <w:p>
            <w:pPr>
              <w:spacing w:after="0" w:before="0"/>
            </w:pPr>
            <w:r>
              <w:rPr>
                <w:color w:val="13272F"/>
                <w:sz w:val="17"/>
                <w:szCs w:val="17"/>
              </w:rPr>
              <w:t xml:space="preserve">The user can see, in their account, that support accessed a session and why</w:t>
            </w:r>
          </w:p>
        </w:tc>
      </w:tr>
      <w:tr>
        <w:trPr>
          <w:tblHeader w:val="false"/>
        </w:trPr>
        <w:tc>
          <w:tcPr>
            <w:tcW w:type="dxa" w:w="1811"/>
            <w:shd w:fill="F7FAFB" w:val="clear"/>
            <w:tcMar>
              <w:top w:type="dxa" w:w="70"/>
              <w:left w:type="dxa" w:w="110"/>
              <w:bottom w:type="dxa" w:w="70"/>
              <w:right w:type="dxa" w:w="110"/>
            </w:tcMar>
          </w:tcPr>
          <w:p>
            <w:pPr>
              <w:spacing w:after="0" w:before="0"/>
            </w:pPr>
            <w:r>
              <w:rPr>
                <w:color w:val="13272F"/>
                <w:sz w:val="17"/>
                <w:szCs w:val="17"/>
              </w:rPr>
              <w:t xml:space="preserve">No impersonation</w:t>
            </w:r>
          </w:p>
        </w:tc>
        <w:tc>
          <w:tcPr>
            <w:tcW w:type="dxa" w:w="7549"/>
            <w:shd w:fill="F7FAFB" w:val="clear"/>
            <w:tcMar>
              <w:top w:type="dxa" w:w="70"/>
              <w:left w:type="dxa" w:w="110"/>
              <w:bottom w:type="dxa" w:w="70"/>
              <w:right w:type="dxa" w:w="110"/>
            </w:tcMar>
          </w:tcPr>
          <w:p>
            <w:pPr>
              <w:spacing w:after="0" w:before="0"/>
            </w:pPr>
            <w:r>
              <w:rPr>
                <w:color w:val="13272F"/>
                <w:sz w:val="17"/>
                <w:szCs w:val="17"/>
              </w:rPr>
              <w:t xml:space="preserve">Admins never "log in as" a user; they view read-only data</w:t>
            </w:r>
          </w:p>
        </w:tc>
      </w:tr>
    </w:tbl>
    <w:p>
      <w:pPr>
        <w:spacing w:after="160"/>
      </w:pPr>
    </w:p>
    <w:p>
      <w:pPr>
        <w:spacing w:after="120" w:before="60" w:line="300"/>
      </w:pPr>
      <w:r>
        <w:rPr>
          <w:color w:val="13272F"/>
          <w:sz w:val="20"/>
          <w:szCs w:val="20"/>
        </w:rPr>
        <w:t xml:space="preserve">This is stricter than most early-stage products, and it is the right default for an app used by professionals whose performance data is sensitive.</w:t>
      </w:r>
    </w:p>
    <w:p>
      <w:pPr>
        <w:pStyle w:val="Heading2"/>
        <w:spacing w:after="130" w:before="300"/>
      </w:pPr>
      <w:r>
        <w:rPr>
          <w:rFonts w:ascii="Georgia" w:cs="Georgia" w:eastAsia="Georgia" w:hAnsi="Georgia"/>
          <w:b/>
          <w:bCs/>
          <w:color w:val="1F7A8C"/>
          <w:sz w:val="25"/>
          <w:szCs w:val="25"/>
        </w:rPr>
        <w:t xml:space="preserve">4.8 Assessment engine controls</w:t>
      </w:r>
    </w:p>
    <w:p>
      <w:pPr>
        <w:spacing w:after="120" w:before="60" w:line="300"/>
      </w:pPr>
      <w:r>
        <w:rPr>
          <w:b/>
          <w:bCs/>
          <w:color w:val="13272F"/>
          <w:sz w:val="20"/>
          <w:szCs w:val="20"/>
        </w:rPr>
        <w:t xml:space="preserve">Threshold editing with impact preview.</w:t>
      </w:r>
      <w:r>
        <w:rPr>
          <w:color w:val="13272F"/>
          <w:sz w:val="20"/>
          <w:szCs w:val="20"/>
        </w:rPr>
        <w:t xml:space="preserve"> Changing 0.60 to 0.55 silently changes what every future session means. The console must show the consequence before applying:</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Anchoring concentration threshold:  0.60  →  0.55</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Impact on 1 284 historical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newly flag      +117 sessions  (9.1%)</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no longer flag     0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Validation suite under proposed thresholds: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sens 100%   spec  94%   (was 100/100)</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Premature closure  sens 100%   spec  88%   (unchanged)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Confirmation bias  sens 100%   spec  82%   (unchanged)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Overall accuracy   93%  (was 94%)   ▼ 1pt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Cancel ]   [ Apply — creates engine v1.4.0 ]</w:t>
      </w:r>
    </w:p>
    <w:p>
      <w:pPr>
        <w:spacing w:after="120" w:before="60" w:line="300"/>
      </w:pPr>
      <w:r>
        <w:rPr>
          <w:color w:val="13272F"/>
          <w:sz w:val="20"/>
          <w:szCs w:val="20"/>
        </w:rPr>
        <w:t xml:space="preserve">This is only possible because of event sourcing: sessions can be replayed. It converts threshold changes from guesswork into a measured decision — and it is the mechanism that finally closes the "thresholds were not tuned with data" limitation in your report.</w:t>
      </w:r>
    </w:p>
    <w:p>
      <w:pPr>
        <w:spacing w:after="120" w:before="60" w:line="300"/>
      </w:pPr>
      <w:r>
        <w:rPr>
          <w:color w:val="13272F"/>
          <w:sz w:val="20"/>
          <w:szCs w:val="20"/>
        </w:rPr>
        <w:t xml:space="preserve">Also here: run the 18-transcript validation suite on demand, view engine version history, and trigger a full replay to recompute results under a new engine version.</w:t>
      </w:r>
    </w:p>
    <w:p>
      <w:pPr>
        <w:pStyle w:val="Heading2"/>
        <w:spacing w:after="130" w:before="300"/>
      </w:pPr>
      <w:r>
        <w:rPr>
          <w:rFonts w:ascii="Georgia" w:cs="Georgia" w:eastAsia="Georgia" w:hAnsi="Georgia"/>
          <w:b/>
          <w:bCs/>
          <w:color w:val="1F7A8C"/>
          <w:sz w:val="25"/>
          <w:szCs w:val="25"/>
        </w:rPr>
        <w:t xml:space="preserve">4.9 Building the admin console — the pragmatic path</w:t>
      </w:r>
    </w:p>
    <w:p>
      <w:pPr>
        <w:spacing w:after="120" w:before="60" w:line="300"/>
      </w:pPr>
      <w:r>
        <w:rPr>
          <w:color w:val="13272F"/>
          <w:sz w:val="20"/>
          <w:szCs w:val="20"/>
        </w:rPr>
        <w:t xml:space="preserve">A console with everything in §4.2 is roughly </w:t>
      </w:r>
      <w:r>
        <w:rPr>
          <w:b/>
          <w:bCs/>
          <w:color w:val="13272F"/>
          <w:sz w:val="20"/>
          <w:szCs w:val="20"/>
        </w:rPr>
        <w:t xml:space="preserve">25–30 developer-days</w:t>
      </w:r>
      <w:r>
        <w:rPr>
          <w:color w:val="13272F"/>
          <w:sz w:val="20"/>
          <w:szCs w:val="20"/>
        </w:rPr>
        <w:t xml:space="preserve">. You should not build it all before launch.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21"/>
        <w:gridCol w:w="7539"/>
      </w:tblGrid>
      <w:tr>
        <w:trPr>
          <w:tblHeader/>
        </w:trPr>
        <w:tc>
          <w:tcPr>
            <w:tcW w:type="dxa" w:w="1821"/>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539"/>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Custom, in-app, built incrementally</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 for core tools.</w:t>
            </w:r>
            <w:r>
              <w:rPr>
                <w:color w:val="13272F"/>
                <w:sz w:val="17"/>
                <w:szCs w:val="17"/>
              </w:rPr>
              <w:t xml:space="preserve"> Case editor, Playtest, and AI Ops are product-specific; no off-the-shelf tool can do Playtest.</w:t>
            </w:r>
          </w:p>
        </w:tc>
      </w:tr>
      <w:tr>
        <w:trPr>
          <w:tblHeader w:val="false"/>
        </w:trPr>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Metabase</w:t>
            </w:r>
            <w:r>
              <w:rPr>
                <w:color w:val="13272F"/>
                <w:sz w:val="17"/>
                <w:szCs w:val="17"/>
              </w:rPr>
              <w:t xml:space="preserve"> (self-host or cloud) for analytics</w:t>
            </w:r>
          </w:p>
        </w:tc>
        <w:tc>
          <w:tcPr>
            <w:tcW w:type="dxa" w:w="753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Strongly recommended.</w:t>
            </w:r>
            <w:r>
              <w:rPr>
                <w:color w:val="13272F"/>
                <w:sz w:val="17"/>
                <w:szCs w:val="17"/>
              </w:rPr>
              <w:t xml:space="preserve"> Connects straight to Postgres, gives dashboards and ad-hoc SQL with a UI, free. </w:t>
            </w:r>
            <w:r>
              <w:rPr>
                <w:b/>
                <w:bCs/>
                <w:color w:val="13272F"/>
                <w:sz w:val="17"/>
                <w:szCs w:val="17"/>
              </w:rPr>
              <w:t xml:space="preserve">Saves ~8 days</w:t>
            </w:r>
            <w:r>
              <w:rPr>
                <w:color w:val="13272F"/>
                <w:sz w:val="17"/>
                <w:szCs w:val="17"/>
              </w:rPr>
              <w:t xml:space="preserve"> of building analytics screens you would otherwise hand-roll.</w:t>
            </w:r>
          </w:p>
        </w:tc>
      </w:tr>
      <w:tr>
        <w:trPr>
          <w:tblHeader w:val="false"/>
        </w:trPr>
        <w:tc>
          <w:tcPr>
            <w:tcW w:type="dxa" w:w="1821"/>
            <w:shd w:fill="FFFFFF" w:val="clear"/>
            <w:tcMar>
              <w:top w:type="dxa" w:w="70"/>
              <w:left w:type="dxa" w:w="110"/>
              <w:bottom w:type="dxa" w:w="70"/>
              <w:right w:type="dxa" w:w="110"/>
            </w:tcMar>
          </w:tcPr>
          <w:p>
            <w:pPr>
              <w:spacing w:after="0" w:before="0"/>
            </w:pPr>
            <w:r>
              <w:rPr>
                <w:color w:val="13272F"/>
                <w:sz w:val="17"/>
                <w:szCs w:val="17"/>
              </w:rPr>
              <w:t xml:space="preserve">Retool / Appsmith / Forest Admin</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Genuinely useful for CRUD screens (users, subscriptions). Cost scales per seat. Consider for the boring tables; not for Playtest.</w:t>
            </w:r>
          </w:p>
        </w:tc>
      </w:tr>
      <w:tr>
        <w:trPr>
          <w:tblHeader w:val="false"/>
        </w:trPr>
        <w:tc>
          <w:tcPr>
            <w:tcW w:type="dxa" w:w="1821"/>
            <w:shd w:fill="F7FAFB" w:val="clear"/>
            <w:tcMar>
              <w:top w:type="dxa" w:w="70"/>
              <w:left w:type="dxa" w:w="110"/>
              <w:bottom w:type="dxa" w:w="70"/>
              <w:right w:type="dxa" w:w="110"/>
            </w:tcMar>
          </w:tcPr>
          <w:p>
            <w:pPr>
              <w:spacing w:after="0" w:before="0"/>
            </w:pPr>
            <w:r>
              <w:rPr>
                <w:color w:val="13272F"/>
                <w:sz w:val="17"/>
                <w:szCs w:val="17"/>
              </w:rPr>
              <w:t xml:space="preserve">Django Admin</w:t>
            </w:r>
          </w:p>
        </w:tc>
        <w:tc>
          <w:tcPr>
            <w:tcW w:type="dxa" w:w="7539"/>
            <w:shd w:fill="F7FAFB" w:val="clear"/>
            <w:tcMar>
              <w:top w:type="dxa" w:w="70"/>
              <w:left w:type="dxa" w:w="110"/>
              <w:bottom w:type="dxa" w:w="70"/>
              <w:right w:type="dxa" w:w="110"/>
            </w:tcMar>
          </w:tcPr>
          <w:p>
            <w:pPr>
              <w:spacing w:after="0" w:before="0"/>
            </w:pPr>
            <w:r>
              <w:rPr>
                <w:color w:val="13272F"/>
                <w:sz w:val="17"/>
                <w:szCs w:val="17"/>
              </w:rPr>
              <w:t xml:space="preserve">❌ Would require migrating the whole app to Django for one feature.</w:t>
            </w:r>
          </w:p>
        </w:tc>
      </w:tr>
      <w:tr>
        <w:trPr>
          <w:tblHeader w:val="false"/>
        </w:trPr>
        <w:tc>
          <w:tcPr>
            <w:tcW w:type="dxa" w:w="1821"/>
            <w:shd w:fill="FFFFFF" w:val="clear"/>
            <w:tcMar>
              <w:top w:type="dxa" w:w="70"/>
              <w:left w:type="dxa" w:w="110"/>
              <w:bottom w:type="dxa" w:w="70"/>
              <w:right w:type="dxa" w:w="110"/>
            </w:tcMar>
          </w:tcPr>
          <w:p>
            <w:pPr>
              <w:spacing w:after="0" w:before="0"/>
            </w:pPr>
            <w:r>
              <w:rPr>
                <w:color w:val="13272F"/>
                <w:sz w:val="17"/>
                <w:szCs w:val="17"/>
              </w:rPr>
              <w:t xml:space="preserve">Flask-Admin</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Fast for raw CRUD, ugly, poor for anything custom. Acceptable as a stopgap on internal-only tables.</w:t>
            </w:r>
          </w:p>
        </w:tc>
      </w:tr>
    </w:tbl>
    <w:p>
      <w:pPr>
        <w:spacing w:after="160"/>
      </w:pPr>
    </w:p>
    <w:p>
      <w:pPr>
        <w:pStyle w:val="Heading3"/>
        <w:spacing w:after="100" w:before="220"/>
      </w:pPr>
      <w:r>
        <w:rPr>
          <w:rFonts w:ascii="Georgia" w:cs="Georgia" w:eastAsia="Georgia" w:hAnsi="Georgia"/>
          <w:b/>
          <w:bCs/>
          <w:color w:val="13272F"/>
          <w:sz w:val="22"/>
          <w:szCs w:val="22"/>
        </w:rPr>
        <w:t xml:space="preserve">Recommended build order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14"/>
        <w:gridCol w:w="3664"/>
        <w:gridCol w:w="707"/>
        <w:gridCol w:w="4175"/>
      </w:tblGrid>
      <w:tr>
        <w:trPr>
          <w:tblHeader/>
        </w:trPr>
        <w:tc>
          <w:tcPr>
            <w:tcW w:type="dxa" w:w="814"/>
            <w:shd w:fill="13272F" w:val="clear"/>
            <w:tcMar>
              <w:top w:type="dxa" w:w="70"/>
              <w:left w:type="dxa" w:w="110"/>
              <w:bottom w:type="dxa" w:w="70"/>
              <w:right w:type="dxa" w:w="110"/>
            </w:tcMar>
          </w:tcPr>
          <w:p>
            <w:pPr>
              <w:spacing w:after="0" w:before="0"/>
            </w:pPr>
            <w:r>
              <w:rPr>
                <w:b/>
                <w:bCs/>
                <w:color w:val="FFFFFF"/>
                <w:sz w:val="17"/>
                <w:szCs w:val="17"/>
              </w:rPr>
              <w:t xml:space="preserve">Priority</w:t>
            </w:r>
          </w:p>
        </w:tc>
        <w:tc>
          <w:tcPr>
            <w:tcW w:type="dxa" w:w="3664"/>
            <w:shd w:fill="13272F" w:val="clear"/>
            <w:tcMar>
              <w:top w:type="dxa" w:w="70"/>
              <w:left w:type="dxa" w:w="110"/>
              <w:bottom w:type="dxa" w:w="70"/>
              <w:right w:type="dxa" w:w="110"/>
            </w:tcMar>
          </w:tcPr>
          <w:p>
            <w:pPr>
              <w:spacing w:after="0" w:before="0"/>
            </w:pPr>
            <w:r>
              <w:rPr>
                <w:b/>
                <w:bCs/>
                <w:color w:val="FFFFFF"/>
                <w:sz w:val="17"/>
                <w:szCs w:val="17"/>
              </w:rPr>
              <w:t xml:space="preserve">What</w:t>
            </w:r>
          </w:p>
        </w:tc>
        <w:tc>
          <w:tcPr>
            <w:tcW w:type="dxa" w:w="707"/>
            <w:shd w:fill="13272F" w:val="clear"/>
            <w:tcMar>
              <w:top w:type="dxa" w:w="70"/>
              <w:left w:type="dxa" w:w="110"/>
              <w:bottom w:type="dxa" w:w="70"/>
              <w:right w:type="dxa" w:w="110"/>
            </w:tcMar>
          </w:tcPr>
          <w:p>
            <w:pPr>
              <w:spacing w:after="0" w:before="0"/>
            </w:pPr>
            <w:r>
              <w:rPr>
                <w:b/>
                <w:bCs/>
                <w:color w:val="FFFFFF"/>
                <w:sz w:val="17"/>
                <w:szCs w:val="17"/>
              </w:rPr>
              <w:t xml:space="preserve">Days</w:t>
            </w:r>
          </w:p>
        </w:tc>
        <w:tc>
          <w:tcPr>
            <w:tcW w:type="dxa" w:w="4175"/>
            <w:shd w:fill="13272F" w:val="clear"/>
            <w:tcMar>
              <w:top w:type="dxa" w:w="70"/>
              <w:left w:type="dxa" w:w="110"/>
              <w:bottom w:type="dxa" w:w="70"/>
              <w:right w:type="dxa" w:w="110"/>
            </w:tcMar>
          </w:tcPr>
          <w:p>
            <w:pPr>
              <w:spacing w:after="0" w:before="0"/>
            </w:pPr>
            <w:r>
              <w:rPr>
                <w:b/>
                <w:bCs/>
                <w:color w:val="FFFFFF"/>
                <w:sz w:val="17"/>
                <w:szCs w:val="17"/>
              </w:rPr>
              <w:t xml:space="preserve">Why first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Case Editor + validation</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5</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Without it, content changes need deploys</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Playtest</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4</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Without it, your clinicians cannot review</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Clinical review queue</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Gates publication; D-6</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AI usage &amp; cost dashboard</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Without it, you cannot price the product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Leakage monitor</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Largest measurement risk</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Examinations / Investigations editor</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Your explicit ask</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Topic lexicon + match tester</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Enables non-programmer tuning</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Metabase for all analytics</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1</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Buy, don't build</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User directory + support access</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Needed once you have users</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P3</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Threshold impact preview</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High value, not urgent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P3</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Case Factory console</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Only once the Factory exists</w:t>
            </w:r>
          </w:p>
        </w:tc>
      </w:tr>
    </w:tbl>
    <w:p>
      <w:pPr>
        <w:spacing w:after="160"/>
      </w:pPr>
    </w:p>
    <w:p>
      <w:pPr>
        <w:spacing w:after="120" w:before="60" w:line="300"/>
      </w:pPr>
      <w:r>
        <w:rPr>
          <w:b/>
          <w:bCs/>
          <w:color w:val="13272F"/>
          <w:sz w:val="20"/>
          <w:szCs w:val="20"/>
        </w:rPr>
        <w:t xml:space="preserve">P0 alone is 11 days and unlocks your clinicians.</w:t>
      </w:r>
      <w:r>
        <w:rPr>
          <w:color w:val="13272F"/>
          <w:sz w:val="20"/>
          <w:szCs w:val="20"/>
        </w:rPr>
        <w:t xml:space="preserve"> That is the milestone that matters.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LLM strategy</w:t>
      </w:r>
    </w:p>
    <w:p>
      <w:pPr>
        <w:pBdr>
          <w:left w:val="single" w:color="B3651F" w:sz="16" w:space="10"/>
        </w:pBdr>
        <w:shd w:fill="FFF6E8" w:val="clear"/>
        <w:spacing w:after="160" w:before="140" w:line="300"/>
        <w:ind w:left="260" w:right="200"/>
      </w:pPr>
      <w:r>
        <w:rPr>
          <w:color w:val="13272F"/>
          <w:sz w:val="20"/>
          <w:szCs w:val="20"/>
        </w:rPr>
        <w:t xml:space="preserve">Your question: which LLM, for what, and is an LLM even necessary everywhere?</w:t>
      </w:r>
    </w:p>
    <w:p>
      <w:pPr>
        <w:pStyle w:val="Heading2"/>
        <w:spacing w:after="130" w:before="300"/>
      </w:pPr>
      <w:r>
        <w:rPr>
          <w:rFonts w:ascii="Georgia" w:cs="Georgia" w:eastAsia="Georgia" w:hAnsi="Georgia"/>
          <w:b/>
          <w:bCs/>
          <w:color w:val="1F7A8C"/>
          <w:sz w:val="25"/>
          <w:szCs w:val="25"/>
        </w:rPr>
        <w:t xml:space="preserve">5.1 The key insight — there are five different jobs</w:t>
      </w:r>
    </w:p>
    <w:p>
      <w:pPr>
        <w:spacing w:after="120" w:before="60" w:line="300"/>
      </w:pPr>
      <w:r>
        <w:rPr>
          <w:color w:val="13272F"/>
          <w:sz w:val="20"/>
          <w:szCs w:val="20"/>
        </w:rPr>
        <w:t xml:space="preserve">"Which LLM should we use" has no single answer, because the system makes model calls for five distinct purposes with </w:t>
      </w:r>
      <w:r>
        <w:rPr>
          <w:b/>
          <w:bCs/>
          <w:color w:val="13272F"/>
          <w:sz w:val="20"/>
          <w:szCs w:val="20"/>
        </w:rPr>
        <w:t xml:space="preserve">completely different requirements</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572"/>
        <w:gridCol w:w="1357"/>
        <w:gridCol w:w="1071"/>
        <w:gridCol w:w="1500"/>
        <w:gridCol w:w="3074"/>
        <w:gridCol w:w="1786"/>
      </w:tblGrid>
      <w:tr>
        <w:trPr>
          <w:tblHeader/>
        </w:trPr>
        <w:tc>
          <w:tcPr>
            <w:tcW w:type="dxa" w:w="57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357"/>
            <w:shd w:fill="13272F" w:val="clear"/>
            <w:tcMar>
              <w:top w:type="dxa" w:w="70"/>
              <w:left w:type="dxa" w:w="110"/>
              <w:bottom w:type="dxa" w:w="70"/>
              <w:right w:type="dxa" w:w="110"/>
            </w:tcMar>
          </w:tcPr>
          <w:p>
            <w:pPr>
              <w:spacing w:after="0" w:before="0"/>
            </w:pPr>
            <w:r>
              <w:rPr>
                <w:b/>
                <w:bCs/>
                <w:color w:val="FFFFFF"/>
                <w:sz w:val="17"/>
                <w:szCs w:val="17"/>
              </w:rPr>
              <w:t xml:space="preserve">Job</w:t>
            </w:r>
          </w:p>
        </w:tc>
        <w:tc>
          <w:tcPr>
            <w:tcW w:type="dxa" w:w="1071"/>
            <w:shd w:fill="13272F" w:val="clear"/>
            <w:tcMar>
              <w:top w:type="dxa" w:w="70"/>
              <w:left w:type="dxa" w:w="110"/>
              <w:bottom w:type="dxa" w:w="70"/>
              <w:right w:type="dxa" w:w="110"/>
            </w:tcMar>
          </w:tcPr>
          <w:p>
            <w:pPr>
              <w:spacing w:after="0" w:before="0"/>
            </w:pPr>
            <w:r>
              <w:rPr>
                <w:b/>
                <w:bCs/>
                <w:color w:val="FFFFFF"/>
                <w:sz w:val="17"/>
                <w:szCs w:val="17"/>
              </w:rPr>
              <w:t xml:space="preserve">Frequency</w:t>
            </w:r>
          </w:p>
        </w:tc>
        <w:tc>
          <w:tcPr>
            <w:tcW w:type="dxa" w:w="1500"/>
            <w:shd w:fill="13272F" w:val="clear"/>
            <w:tcMar>
              <w:top w:type="dxa" w:w="70"/>
              <w:left w:type="dxa" w:w="110"/>
              <w:bottom w:type="dxa" w:w="70"/>
              <w:right w:type="dxa" w:w="110"/>
            </w:tcMar>
          </w:tcPr>
          <w:p>
            <w:pPr>
              <w:spacing w:after="0" w:before="0"/>
            </w:pPr>
            <w:r>
              <w:rPr>
                <w:b/>
                <w:bCs/>
                <w:color w:val="FFFFFF"/>
                <w:sz w:val="17"/>
                <w:szCs w:val="17"/>
              </w:rPr>
              <w:t xml:space="preserve">Latency matters?</w:t>
            </w:r>
          </w:p>
        </w:tc>
        <w:tc>
          <w:tcPr>
            <w:tcW w:type="dxa" w:w="3074"/>
            <w:shd w:fill="13272F" w:val="clear"/>
            <w:tcMar>
              <w:top w:type="dxa" w:w="70"/>
              <w:left w:type="dxa" w:w="110"/>
              <w:bottom w:type="dxa" w:w="70"/>
              <w:right w:type="dxa" w:w="110"/>
            </w:tcMar>
          </w:tcPr>
          <w:p>
            <w:pPr>
              <w:spacing w:after="0" w:before="0"/>
            </w:pPr>
            <w:r>
              <w:rPr>
                <w:b/>
                <w:bCs/>
                <w:color w:val="FFFFFF"/>
                <w:sz w:val="17"/>
                <w:szCs w:val="17"/>
              </w:rPr>
              <w:t xml:space="preserve">Quality bar</w:t>
            </w:r>
          </w:p>
        </w:tc>
        <w:tc>
          <w:tcPr>
            <w:tcW w:type="dxa" w:w="1786"/>
            <w:shd w:fill="13272F" w:val="clear"/>
            <w:tcMar>
              <w:top w:type="dxa" w:w="70"/>
              <w:left w:type="dxa" w:w="110"/>
              <w:bottom w:type="dxa" w:w="70"/>
              <w:right w:type="dxa" w:w="110"/>
            </w:tcMar>
          </w:tcPr>
          <w:p>
            <w:pPr>
              <w:spacing w:after="0" w:before="0"/>
            </w:pPr>
            <w:r>
              <w:rPr>
                <w:b/>
                <w:bCs/>
                <w:color w:val="FFFFFF"/>
                <w:sz w:val="17"/>
                <w:szCs w:val="17"/>
              </w:rPr>
              <w:t xml:space="preserve">Cost sensitivity</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J1</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Patient roleplay</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~8× per session</w:t>
            </w:r>
          </w:p>
        </w:tc>
        <w:tc>
          <w:tcPr>
            <w:tcW w:type="dxa" w:w="1500"/>
            <w:shd w:fill="FFFFFF" w:val="clear"/>
            <w:tcMar>
              <w:top w:type="dxa" w:w="70"/>
              <w:left w:type="dxa" w:w="110"/>
              <w:bottom w:type="dxa" w:w="70"/>
              <w:right w:type="dxa" w:w="110"/>
            </w:tcMar>
          </w:tcPr>
          <w:p>
            <w:pPr>
              <w:spacing w:after="0" w:before="0"/>
            </w:pPr>
            <w:r>
              <w:rPr>
                <w:b/>
                <w:bCs/>
                <w:color w:val="13272F"/>
                <w:sz w:val="17"/>
                <w:szCs w:val="17"/>
              </w:rPr>
              <w:t xml:space="preserve">Critical</w:t>
            </w:r>
            <w:r>
              <w:rPr>
                <w:color w:val="13272F"/>
                <w:sz w:val="17"/>
                <w:szCs w:val="17"/>
              </w:rPr>
              <w:t xml:space="preserve"> — user waits</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Consistent persona, refuses to volunteer</w:t>
            </w:r>
          </w:p>
        </w:tc>
        <w:tc>
          <w:tcPr>
            <w:tcW w:type="dxa" w:w="1786"/>
            <w:shd w:fill="FFFFFF" w:val="clear"/>
            <w:tcMar>
              <w:top w:type="dxa" w:w="70"/>
              <w:left w:type="dxa" w:w="110"/>
              <w:bottom w:type="dxa" w:w="70"/>
              <w:right w:type="dxa" w:w="110"/>
            </w:tcMar>
          </w:tcPr>
          <w:p>
            <w:pPr>
              <w:spacing w:after="0" w:before="0"/>
            </w:pPr>
            <w:r>
              <w:rPr>
                <w:b/>
                <w:bCs/>
                <w:color w:val="13272F"/>
                <w:sz w:val="17"/>
                <w:szCs w:val="17"/>
              </w:rPr>
              <w:t xml:space="preserve">Highest</w:t>
            </w:r>
            <w:r>
              <w:rPr>
                <w:color w:val="13272F"/>
                <w:sz w:val="17"/>
                <w:szCs w:val="17"/>
              </w:rPr>
              <w:t xml:space="preserve"> — dominates spend</w:t>
            </w:r>
          </w:p>
        </w:tc>
      </w:tr>
      <w:tr>
        <w:trPr>
          <w:tblHeader w:val="false"/>
        </w:trPr>
        <w:tc>
          <w:tcPr>
            <w:tcW w:type="dxa" w:w="572"/>
            <w:shd w:fill="F7FAFB" w:val="clear"/>
            <w:tcMar>
              <w:top w:type="dxa" w:w="70"/>
              <w:left w:type="dxa" w:w="110"/>
              <w:bottom w:type="dxa" w:w="70"/>
              <w:right w:type="dxa" w:w="110"/>
            </w:tcMar>
          </w:tcPr>
          <w:p>
            <w:pPr>
              <w:spacing w:after="0" w:before="0"/>
            </w:pPr>
            <w:r>
              <w:rPr>
                <w:color w:val="13272F"/>
                <w:sz w:val="17"/>
                <w:szCs w:val="17"/>
              </w:rPr>
              <w:t xml:space="preserve">J2</w:t>
            </w:r>
          </w:p>
        </w:tc>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Feedback generation</w:t>
            </w:r>
          </w:p>
        </w:tc>
        <w:tc>
          <w:tcPr>
            <w:tcW w:type="dxa" w:w="1071"/>
            <w:shd w:fill="F7FAFB" w:val="clear"/>
            <w:tcMar>
              <w:top w:type="dxa" w:w="70"/>
              <w:left w:type="dxa" w:w="110"/>
              <w:bottom w:type="dxa" w:w="70"/>
              <w:right w:type="dxa" w:w="110"/>
            </w:tcMar>
          </w:tcPr>
          <w:p>
            <w:pPr>
              <w:spacing w:after="0" w:before="0"/>
            </w:pPr>
            <w:r>
              <w:rPr>
                <w:color w:val="13272F"/>
                <w:sz w:val="17"/>
                <w:szCs w:val="17"/>
              </w:rPr>
              <w:t xml:space="preserve">1× per session</w:t>
            </w:r>
          </w:p>
        </w:tc>
        <w:tc>
          <w:tcPr>
            <w:tcW w:type="dxa" w:w="1500"/>
            <w:shd w:fill="F7FAFB" w:val="clear"/>
            <w:tcMar>
              <w:top w:type="dxa" w:w="70"/>
              <w:left w:type="dxa" w:w="110"/>
              <w:bottom w:type="dxa" w:w="70"/>
              <w:right w:type="dxa" w:w="110"/>
            </w:tcMar>
          </w:tcPr>
          <w:p>
            <w:pPr>
              <w:spacing w:after="0" w:before="0"/>
            </w:pPr>
            <w:r>
              <w:rPr>
                <w:color w:val="13272F"/>
                <w:sz w:val="17"/>
                <w:szCs w:val="17"/>
              </w:rPr>
              <w:t xml:space="preserve">Moderate (2–4 s fine)</w:t>
            </w:r>
          </w:p>
        </w:tc>
        <w:tc>
          <w:tcPr>
            <w:tcW w:type="dxa" w:w="3074"/>
            <w:shd w:fill="F7FAFB" w:val="clear"/>
            <w:tcMar>
              <w:top w:type="dxa" w:w="70"/>
              <w:left w:type="dxa" w:w="110"/>
              <w:bottom w:type="dxa" w:w="70"/>
              <w:right w:type="dxa" w:w="110"/>
            </w:tcMar>
          </w:tcPr>
          <w:p>
            <w:pPr>
              <w:spacing w:after="0" w:before="0"/>
            </w:pPr>
            <w:r>
              <w:rPr>
                <w:color w:val="13272F"/>
                <w:sz w:val="17"/>
                <w:szCs w:val="17"/>
              </w:rPr>
              <w:t xml:space="preserve">Pedagogical quality, follows constraints</w:t>
            </w:r>
          </w:p>
        </w:tc>
        <w:tc>
          <w:tcPr>
            <w:tcW w:type="dxa" w:w="1786"/>
            <w:shd w:fill="F7FAFB"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J3</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Case extraction</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FFFFF"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Strict schema adherence + medical knowledge</w:t>
            </w:r>
          </w:p>
        </w:tc>
        <w:tc>
          <w:tcPr>
            <w:tcW w:type="dxa" w:w="1786"/>
            <w:shd w:fill="FFFFFF"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7FAFB" w:val="clear"/>
            <w:tcMar>
              <w:top w:type="dxa" w:w="70"/>
              <w:left w:type="dxa" w:w="110"/>
              <w:bottom w:type="dxa" w:w="70"/>
              <w:right w:type="dxa" w:w="110"/>
            </w:tcMar>
          </w:tcPr>
          <w:p>
            <w:pPr>
              <w:spacing w:after="0" w:before="0"/>
            </w:pPr>
            <w:r>
              <w:rPr>
                <w:color w:val="13272F"/>
                <w:sz w:val="17"/>
                <w:szCs w:val="17"/>
              </w:rPr>
              <w:t xml:space="preserve">J4</w:t>
            </w:r>
          </w:p>
        </w:tc>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Quality judge</w:t>
            </w:r>
          </w:p>
        </w:tc>
        <w:tc>
          <w:tcPr>
            <w:tcW w:type="dxa" w:w="1071"/>
            <w:shd w:fill="F7FAFB"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7FAFB"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7FAFB" w:val="clear"/>
            <w:tcMar>
              <w:top w:type="dxa" w:w="70"/>
              <w:left w:type="dxa" w:w="110"/>
              <w:bottom w:type="dxa" w:w="70"/>
              <w:right w:type="dxa" w:w="110"/>
            </w:tcMar>
          </w:tcPr>
          <w:p>
            <w:pPr>
              <w:spacing w:after="0" w:before="0"/>
            </w:pPr>
            <w:r>
              <w:rPr>
                <w:color w:val="13272F"/>
                <w:sz w:val="17"/>
                <w:szCs w:val="17"/>
              </w:rPr>
              <w:t xml:space="preserve">Holistic clinical reasoning</w:t>
            </w:r>
          </w:p>
        </w:tc>
        <w:tc>
          <w:tcPr>
            <w:tcW w:type="dxa" w:w="1786"/>
            <w:shd w:fill="F7FAFB"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J5</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Grounding check</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FFFFF"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Entailment only</w:t>
            </w:r>
          </w:p>
        </w:tc>
        <w:tc>
          <w:tcPr>
            <w:tcW w:type="dxa" w:w="1786"/>
            <w:shd w:fill="FFFFFF" w:val="clear"/>
            <w:tcMar>
              <w:top w:type="dxa" w:w="70"/>
              <w:left w:type="dxa" w:w="110"/>
              <w:bottom w:type="dxa" w:w="70"/>
              <w:right w:type="dxa" w:w="110"/>
            </w:tcMar>
          </w:tcPr>
          <w:p>
            <w:pPr>
              <w:spacing w:after="0" w:before="0"/>
            </w:pPr>
            <w:r>
              <w:rPr>
                <w:color w:val="13272F"/>
                <w:sz w:val="17"/>
                <w:szCs w:val="17"/>
              </w:rPr>
              <w:t xml:space="preserve">Moderate</w:t>
            </w:r>
          </w:p>
        </w:tc>
      </w:tr>
    </w:tbl>
    <w:p>
      <w:pPr>
        <w:spacing w:after="160"/>
      </w:pPr>
    </w:p>
    <w:p>
      <w:pPr>
        <w:spacing w:after="120" w:before="60" w:line="300"/>
      </w:pPr>
      <w:r>
        <w:rPr>
          <w:color w:val="13272F"/>
          <w:sz w:val="20"/>
          <w:szCs w:val="20"/>
        </w:rPr>
        <w:t xml:space="preserve">Optimising all five with one model means overpaying on J1 or under-delivering on J3.</w:t>
      </w:r>
    </w:p>
    <w:p>
      <w:pPr>
        <w:pStyle w:val="Heading2"/>
        <w:spacing w:after="130" w:before="300"/>
      </w:pPr>
      <w:r>
        <w:rPr>
          <w:rFonts w:ascii="Georgia" w:cs="Georgia" w:eastAsia="Georgia" w:hAnsi="Georgia"/>
          <w:b/>
          <w:bCs/>
          <w:color w:val="1F7A8C"/>
          <w:sz w:val="25"/>
          <w:szCs w:val="25"/>
        </w:rPr>
        <w:t xml:space="preserve">5.2 J1 — Patient roleplay</w:t>
      </w:r>
    </w:p>
    <w:p>
      <w:pPr>
        <w:spacing w:after="120" w:before="60" w:line="300"/>
      </w:pPr>
      <w:r>
        <w:rPr>
          <w:color w:val="13272F"/>
          <w:sz w:val="20"/>
          <w:szCs w:val="20"/>
        </w:rPr>
        <w:t xml:space="preserve">The highest-volume, most cost-sensitive, most latency-sensitive call. It also has an unusual quality requirement: </w:t>
      </w:r>
      <w:r>
        <w:rPr>
          <w:b/>
          <w:bCs/>
          <w:color w:val="13272F"/>
          <w:sz w:val="20"/>
          <w:szCs w:val="20"/>
        </w:rPr>
        <w:t xml:space="preserve">the model must be good at withholding information.</w:t>
      </w:r>
      <w:r>
        <w:rPr>
          <w:color w:val="13272F"/>
          <w:sz w:val="20"/>
          <w:szCs w:val="20"/>
        </w:rPr>
        <w:t xml:space="preserve"> Most model evaluation measures helpfulness; you need controlled unhelpfulness.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210"/>
        <w:gridCol w:w="2340"/>
        <w:gridCol w:w="650"/>
        <w:gridCol w:w="1733"/>
        <w:gridCol w:w="2427"/>
      </w:tblGrid>
      <w:tr>
        <w:trPr>
          <w:tblHeader/>
        </w:trPr>
        <w:tc>
          <w:tcPr>
            <w:tcW w:type="dxa" w:w="2210"/>
            <w:shd w:fill="13272F" w:val="clear"/>
            <w:tcMar>
              <w:top w:type="dxa" w:w="70"/>
              <w:left w:type="dxa" w:w="110"/>
              <w:bottom w:type="dxa" w:w="70"/>
              <w:right w:type="dxa" w:w="110"/>
            </w:tcMar>
          </w:tcPr>
          <w:p>
            <w:pPr>
              <w:spacing w:after="0" w:before="0"/>
            </w:pPr>
            <w:r>
              <w:rPr>
                <w:b/>
                <w:bCs/>
                <w:color w:val="FFFFFF"/>
                <w:sz w:val="17"/>
                <w:szCs w:val="17"/>
              </w:rPr>
              <w:t xml:space="preserve">Model</w:t>
            </w:r>
          </w:p>
        </w:tc>
        <w:tc>
          <w:tcPr>
            <w:tcW w:type="dxa" w:w="2340"/>
            <w:shd w:fill="13272F" w:val="clear"/>
            <w:tcMar>
              <w:top w:type="dxa" w:w="70"/>
              <w:left w:type="dxa" w:w="110"/>
              <w:bottom w:type="dxa" w:w="70"/>
              <w:right w:type="dxa" w:w="110"/>
            </w:tcMar>
          </w:tcPr>
          <w:p>
            <w:pPr>
              <w:spacing w:after="0" w:before="0"/>
            </w:pPr>
            <w:r>
              <w:rPr>
                <w:b/>
                <w:bCs/>
                <w:color w:val="FFFFFF"/>
                <w:sz w:val="17"/>
                <w:szCs w:val="17"/>
              </w:rPr>
              <w:t xml:space="preserve">Speed</w:t>
            </w:r>
          </w:p>
        </w:tc>
        <w:tc>
          <w:tcPr>
            <w:tcW w:type="dxa" w:w="650"/>
            <w:shd w:fill="13272F" w:val="clear"/>
            <w:tcMar>
              <w:top w:type="dxa" w:w="70"/>
              <w:left w:type="dxa" w:w="110"/>
              <w:bottom w:type="dxa" w:w="70"/>
              <w:right w:type="dxa" w:w="110"/>
            </w:tcMar>
          </w:tcPr>
          <w:p>
            <w:pPr>
              <w:spacing w:after="0" w:before="0"/>
            </w:pPr>
            <w:r>
              <w:rPr>
                <w:b/>
                <w:bCs/>
                <w:color w:val="FFFFFF"/>
                <w:sz w:val="17"/>
                <w:szCs w:val="17"/>
              </w:rPr>
              <w:t xml:space="preserve">Cost (rough)</w:t>
            </w:r>
          </w:p>
        </w:tc>
        <w:tc>
          <w:tcPr>
            <w:tcW w:type="dxa" w:w="1733"/>
            <w:shd w:fill="13272F" w:val="clear"/>
            <w:tcMar>
              <w:top w:type="dxa" w:w="70"/>
              <w:left w:type="dxa" w:w="110"/>
              <w:bottom w:type="dxa" w:w="70"/>
              <w:right w:type="dxa" w:w="110"/>
            </w:tcMar>
          </w:tcPr>
          <w:p>
            <w:pPr>
              <w:spacing w:after="0" w:before="0"/>
            </w:pPr>
            <w:r>
              <w:rPr>
                <w:b/>
                <w:bCs/>
                <w:color w:val="FFFFFF"/>
                <w:sz w:val="17"/>
                <w:szCs w:val="17"/>
              </w:rPr>
              <w:t xml:space="preserve">Persona discipline</w:t>
            </w:r>
          </w:p>
        </w:tc>
        <w:tc>
          <w:tcPr>
            <w:tcW w:type="dxa" w:w="2427"/>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2210"/>
            <w:shd w:fill="FFFFFF" w:val="clear"/>
            <w:tcMar>
              <w:top w:type="dxa" w:w="70"/>
              <w:left w:type="dxa" w:w="110"/>
              <w:bottom w:type="dxa" w:w="70"/>
              <w:right w:type="dxa" w:w="110"/>
            </w:tcMar>
          </w:tcPr>
          <w:p>
            <w:pPr>
              <w:spacing w:after="0" w:before="0"/>
            </w:pPr>
            <w:r>
              <w:rPr>
                <w:b/>
                <w:bCs/>
                <w:color w:val="13272F"/>
                <w:sz w:val="17"/>
                <w:szCs w:val="17"/>
              </w:rPr>
              <w:t xml:space="preserve">Llama 3.3 70B (Groq)</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Exceptional — Groq's hardware is genuinely much faster</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Low</w:t>
            </w:r>
          </w:p>
        </w:tc>
        <w:tc>
          <w:tcPr>
            <w:tcW w:type="dxa" w:w="1733"/>
            <w:shd w:fill="FFFFFF" w:val="clear"/>
            <w:tcMar>
              <w:top w:type="dxa" w:w="70"/>
              <w:left w:type="dxa" w:w="110"/>
              <w:bottom w:type="dxa" w:w="70"/>
              <w:right w:type="dxa" w:w="110"/>
            </w:tcMar>
          </w:tcPr>
          <w:p>
            <w:pPr>
              <w:spacing w:after="0" w:before="0"/>
            </w:pPr>
            <w:r>
              <w:rPr>
                <w:color w:val="13272F"/>
                <w:sz w:val="17"/>
                <w:szCs w:val="17"/>
              </w:rPr>
              <w:t xml:space="preserve">Good</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Keep for now.</w:t>
            </w:r>
            <w:r>
              <w:rPr>
                <w:color w:val="13272F"/>
                <w:sz w:val="17"/>
                <w:szCs w:val="17"/>
              </w:rPr>
              <w:t xml:space="preserve"> Speed is a real UX advantage.</w:t>
            </w:r>
          </w:p>
        </w:tc>
      </w:tr>
      <w:tr>
        <w:trPr>
          <w:tblHeader w:val="false"/>
        </w:trPr>
        <w:tc>
          <w:tcPr>
            <w:tcW w:type="dxa" w:w="2210"/>
            <w:shd w:fill="F7FAFB" w:val="clear"/>
            <w:tcMar>
              <w:top w:type="dxa" w:w="70"/>
              <w:left w:type="dxa" w:w="110"/>
              <w:bottom w:type="dxa" w:w="70"/>
              <w:right w:type="dxa" w:w="110"/>
            </w:tcMar>
          </w:tcPr>
          <w:p>
            <w:pPr>
              <w:spacing w:after="0" w:before="0"/>
            </w:pPr>
            <w:r>
              <w:rPr>
                <w:b/>
                <w:bCs/>
                <w:color w:val="13272F"/>
                <w:sz w:val="17"/>
                <w:szCs w:val="17"/>
              </w:rPr>
              <w:t xml:space="preserve">GPT-4o-mini</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Very low</w:t>
            </w:r>
          </w:p>
        </w:tc>
        <w:tc>
          <w:tcPr>
            <w:tcW w:type="dxa" w:w="1733"/>
            <w:shd w:fill="F7FAFB" w:val="clear"/>
            <w:tcMar>
              <w:top w:type="dxa" w:w="70"/>
              <w:left w:type="dxa" w:w="110"/>
              <w:bottom w:type="dxa" w:w="70"/>
              <w:right w:type="dxa" w:w="110"/>
            </w:tcMar>
          </w:tcPr>
          <w:p>
            <w:pPr>
              <w:spacing w:after="0" w:before="0"/>
            </w:pPr>
            <w:r>
              <w:rPr>
                <w:b/>
                <w:bCs/>
                <w:color w:val="13272F"/>
                <w:sz w:val="17"/>
                <w:szCs w:val="17"/>
              </w:rPr>
              <w:t xml:space="preserve">Very good</w:t>
            </w:r>
            <w:r>
              <w:rPr>
                <w:color w:val="13272F"/>
                <w:sz w:val="17"/>
                <w:szCs w:val="17"/>
              </w:rPr>
              <w:t xml:space="preserve"> — strong instruction-following</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Best value candidate.</w:t>
            </w:r>
            <w:r>
              <w:rPr>
                <w:color w:val="13272F"/>
                <w:sz w:val="17"/>
                <w:szCs w:val="17"/>
              </w:rPr>
              <w:t xml:space="preserve"> Test against Groq.</w:t>
            </w:r>
          </w:p>
        </w:tc>
      </w:tr>
      <w:tr>
        <w:trPr>
          <w:tblHeader w:val="false"/>
        </w:trPr>
        <w:tc>
          <w:tcPr>
            <w:tcW w:type="dxa" w:w="2210"/>
            <w:shd w:fill="FFFFFF" w:val="clear"/>
            <w:tcMar>
              <w:top w:type="dxa" w:w="70"/>
              <w:left w:type="dxa" w:w="110"/>
              <w:bottom w:type="dxa" w:w="70"/>
              <w:right w:type="dxa" w:w="110"/>
            </w:tcMar>
          </w:tcPr>
          <w:p>
            <w:pPr>
              <w:spacing w:after="0" w:before="0"/>
            </w:pPr>
            <w:r>
              <w:rPr>
                <w:b/>
                <w:bCs/>
                <w:color w:val="13272F"/>
                <w:sz w:val="17"/>
                <w:szCs w:val="17"/>
              </w:rPr>
              <w:t xml:space="preserve">Claude Haiku</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Low–moderate</w:t>
            </w:r>
          </w:p>
        </w:tc>
        <w:tc>
          <w:tcPr>
            <w:tcW w:type="dxa" w:w="1733"/>
            <w:shd w:fill="FFFFFF" w:val="clear"/>
            <w:tcMar>
              <w:top w:type="dxa" w:w="70"/>
              <w:left w:type="dxa" w:w="110"/>
              <w:bottom w:type="dxa" w:w="70"/>
              <w:right w:type="dxa" w:w="110"/>
            </w:tcMar>
          </w:tcPr>
          <w:p>
            <w:pPr>
              <w:spacing w:after="0" w:before="0"/>
            </w:pPr>
            <w:r>
              <w:rPr>
                <w:b/>
                <w:bCs/>
                <w:color w:val="13272F"/>
                <w:sz w:val="17"/>
                <w:szCs w:val="17"/>
              </w:rPr>
              <w:t xml:space="preserve">Excellent</w:t>
            </w:r>
            <w:r>
              <w:rPr>
                <w:color w:val="13272F"/>
                <w:sz w:val="17"/>
                <w:szCs w:val="17"/>
              </w:rPr>
              <w:t xml:space="preserve"> at constraint-following</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Best persona discipline.</w:t>
            </w:r>
            <w:r>
              <w:rPr>
                <w:color w:val="13272F"/>
                <w:sz w:val="17"/>
                <w:szCs w:val="17"/>
              </w:rPr>
              <w:t xml:space="preserve"> Test if leakage is a problem.</w:t>
            </w:r>
          </w:p>
        </w:tc>
      </w:tr>
      <w:tr>
        <w:trPr>
          <w:tblHeader w:val="false"/>
        </w:trPr>
        <w:tc>
          <w:tcPr>
            <w:tcW w:type="dxa" w:w="2210"/>
            <w:shd w:fill="F7FAFB" w:val="clear"/>
            <w:tcMar>
              <w:top w:type="dxa" w:w="70"/>
              <w:left w:type="dxa" w:w="110"/>
              <w:bottom w:type="dxa" w:w="70"/>
              <w:right w:type="dxa" w:w="110"/>
            </w:tcMar>
          </w:tcPr>
          <w:p>
            <w:pPr>
              <w:spacing w:after="0" w:before="0"/>
            </w:pPr>
            <w:r>
              <w:rPr>
                <w:b/>
                <w:bCs/>
                <w:color w:val="13272F"/>
                <w:sz w:val="17"/>
                <w:szCs w:val="17"/>
              </w:rPr>
              <w:t xml:space="preserve">Gemini Flash</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Very low</w:t>
            </w:r>
          </w:p>
        </w:tc>
        <w:tc>
          <w:tcPr>
            <w:tcW w:type="dxa" w:w="1733"/>
            <w:shd w:fill="F7FAFB" w:val="clear"/>
            <w:tcMar>
              <w:top w:type="dxa" w:w="70"/>
              <w:left w:type="dxa" w:w="110"/>
              <w:bottom w:type="dxa" w:w="70"/>
              <w:right w:type="dxa" w:w="110"/>
            </w:tcMar>
          </w:tcPr>
          <w:p>
            <w:pPr>
              <w:spacing w:after="0" w:before="0"/>
            </w:pPr>
            <w:r>
              <w:rPr>
                <w:color w:val="13272F"/>
                <w:sz w:val="17"/>
                <w:szCs w:val="17"/>
              </w:rPr>
              <w:t xml:space="preserve">Good</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Viable; large free tier</w:t>
            </w:r>
          </w:p>
        </w:tc>
      </w:tr>
      <w:tr>
        <w:trPr>
          <w:tblHeader w:val="false"/>
        </w:trPr>
        <w:tc>
          <w:tcPr>
            <w:tcW w:type="dxa" w:w="2210"/>
            <w:shd w:fill="FFFFFF" w:val="clear"/>
            <w:tcMar>
              <w:top w:type="dxa" w:w="70"/>
              <w:left w:type="dxa" w:w="110"/>
              <w:bottom w:type="dxa" w:w="70"/>
              <w:right w:type="dxa" w:w="110"/>
            </w:tcMar>
          </w:tcPr>
          <w:p>
            <w:pPr>
              <w:spacing w:after="0" w:before="0"/>
            </w:pPr>
            <w:r>
              <w:rPr>
                <w:color w:val="13272F"/>
                <w:sz w:val="17"/>
                <w:szCs w:val="17"/>
              </w:rPr>
              <w:t xml:space="preserve">Frontier models (GPT-4o, Claude Sonnet, Gemini Pro)</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Slower</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10–30× higher</w:t>
            </w:r>
          </w:p>
        </w:tc>
        <w:tc>
          <w:tcPr>
            <w:tcW w:type="dxa" w:w="1733"/>
            <w:shd w:fill="FFFFFF" w:val="clear"/>
            <w:tcMar>
              <w:top w:type="dxa" w:w="70"/>
              <w:left w:type="dxa" w:w="110"/>
              <w:bottom w:type="dxa" w:w="70"/>
              <w:right w:type="dxa" w:w="110"/>
            </w:tcMar>
          </w:tcPr>
          <w:p>
            <w:pPr>
              <w:spacing w:after="0" w:before="0"/>
            </w:pPr>
            <w:r>
              <w:rPr>
                <w:color w:val="13272F"/>
                <w:sz w:val="17"/>
                <w:szCs w:val="17"/>
              </w:rPr>
              <w:t xml:space="preserve">Excellent</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Wasteful here — this is roleplay, not reasoning</w:t>
            </w:r>
          </w:p>
        </w:tc>
      </w:tr>
      <w:tr>
        <w:trPr>
          <w:tblHeader w:val="false"/>
        </w:trPr>
        <w:tc>
          <w:tcPr>
            <w:tcW w:type="dxa" w:w="2210"/>
            <w:shd w:fill="F7FAFB" w:val="clear"/>
            <w:tcMar>
              <w:top w:type="dxa" w:w="70"/>
              <w:left w:type="dxa" w:w="110"/>
              <w:bottom w:type="dxa" w:w="70"/>
              <w:right w:type="dxa" w:w="110"/>
            </w:tcMar>
          </w:tcPr>
          <w:p>
            <w:pPr>
              <w:spacing w:after="0" w:before="0"/>
            </w:pPr>
            <w:r>
              <w:rPr>
                <w:color w:val="13272F"/>
                <w:sz w:val="17"/>
                <w:szCs w:val="17"/>
              </w:rPr>
              <w:t xml:space="preserve">Self-hosted Llama on your own GPU</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Depends</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High fixed cost</w:t>
            </w:r>
          </w:p>
        </w:tc>
        <w:tc>
          <w:tcPr>
            <w:tcW w:type="dxa" w:w="1733"/>
            <w:shd w:fill="F7FAFB" w:val="clear"/>
            <w:tcMar>
              <w:top w:type="dxa" w:w="70"/>
              <w:left w:type="dxa" w:w="110"/>
              <w:bottom w:type="dxa" w:w="70"/>
              <w:right w:type="dxa" w:w="110"/>
            </w:tcMar>
          </w:tcPr>
          <w:p>
            <w:pPr>
              <w:spacing w:after="0" w:before="0"/>
            </w:pPr>
            <w:r>
              <w:rPr>
                <w:color w:val="13272F"/>
                <w:sz w:val="17"/>
                <w:szCs w:val="17"/>
              </w:rPr>
              <w:t xml:space="preserve">Same as Llama</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Not until volume justifies a GPU bill</w:t>
            </w:r>
          </w:p>
        </w:tc>
      </w:tr>
    </w:tbl>
    <w:p>
      <w:pPr>
        <w:spacing w:after="160"/>
      </w:pPr>
    </w:p>
    <w:p>
      <w:pPr>
        <w:pStyle w:val="Heading3"/>
        <w:spacing w:after="100" w:before="220"/>
      </w:pPr>
      <w:r>
        <w:rPr>
          <w:rFonts w:ascii="Georgia" w:cs="Georgia" w:eastAsia="Georgia" w:hAnsi="Georgia"/>
          <w:b/>
          <w:bCs/>
          <w:color w:val="13272F"/>
          <w:sz w:val="22"/>
          <w:szCs w:val="22"/>
        </w:rPr>
        <w:t xml:space="preserve">Recommendation</w:t>
      </w:r>
    </w:p>
    <w:p>
      <w:pPr>
        <w:spacing w:after="120" w:before="60" w:line="300"/>
      </w:pPr>
      <w:r>
        <w:rPr>
          <w:b/>
          <w:bCs/>
          <w:color w:val="13272F"/>
          <w:sz w:val="20"/>
          <w:szCs w:val="20"/>
        </w:rPr>
        <w:t xml:space="preserve">Stay on Groq / Llama 3.3 70B for now.</w:t>
      </w:r>
      <w:r>
        <w:rPr>
          <w:color w:val="13272F"/>
          <w:sz w:val="20"/>
          <w:szCs w:val="20"/>
        </w:rPr>
        <w:t xml:space="preserve"> It is fast, cheap, and working.</w:t>
      </w:r>
    </w:p>
    <w:p>
      <w:pPr>
        <w:spacing w:after="120" w:before="60" w:line="300"/>
      </w:pPr>
      <w:r>
        <w:rPr>
          <w:b/>
          <w:bCs/>
          <w:color w:val="13272F"/>
          <w:sz w:val="20"/>
          <w:szCs w:val="20"/>
        </w:rPr>
        <w:t xml:space="preserve">Before commercial launch, run a persona-discipline bake-off</w:t>
      </w:r>
      <w:r>
        <w:rPr>
          <w:color w:val="13272F"/>
          <w:sz w:val="20"/>
          <w:szCs w:val="20"/>
        </w:rPr>
        <w:t xml:space="preserve"> — this is a concrete, measurable experiment you should actually do:</w:t>
      </w:r>
    </w:p>
    <w:p>
      <w:pPr>
        <w:pStyle w:val="ListParagraph"/>
        <w:numPr>
          <w:ilvl w:val="0"/>
          <w:numId w:val="2"/>
        </w:numPr>
        <w:spacing w:after="40" w:before="40" w:line="280"/>
      </w:pPr>
      <w:r>
        <w:rPr>
          <w:color w:val="13272F"/>
          <w:sz w:val="20"/>
          <w:szCs w:val="20"/>
        </w:rPr>
        <w:t xml:space="preserve">Take your adversarial extraction prompts (§4.5)</w:t>
      </w:r>
    </w:p>
    <w:p>
      <w:pPr>
        <w:pStyle w:val="ListParagraph"/>
        <w:numPr>
          <w:ilvl w:val="0"/>
          <w:numId w:val="2"/>
        </w:numPr>
        <w:spacing w:after="40" w:before="40" w:line="280"/>
      </w:pPr>
      <w:r>
        <w:rPr>
          <w:color w:val="13272F"/>
          <w:sz w:val="20"/>
          <w:szCs w:val="20"/>
        </w:rPr>
        <w:t xml:space="preserve">Run them against each candidate model on all five cases</w:t>
      </w:r>
    </w:p>
    <w:p>
      <w:pPr>
        <w:pStyle w:val="ListParagraph"/>
        <w:numPr>
          <w:ilvl w:val="0"/>
          <w:numId w:val="2"/>
        </w:numPr>
        <w:spacing w:after="40" w:before="40" w:line="280"/>
      </w:pPr>
      <w:r>
        <w:rPr>
          <w:color w:val="13272F"/>
          <w:sz w:val="20"/>
          <w:szCs w:val="20"/>
        </w:rPr>
        <w:t xml:space="preserve">Measure: leakage rate, in-character rate, average reply length, p95 latency, cost per session</w:t>
      </w:r>
    </w:p>
    <w:p>
      <w:pPr>
        <w:pStyle w:val="ListParagraph"/>
        <w:numPr>
          <w:ilvl w:val="0"/>
          <w:numId w:val="2"/>
        </w:numPr>
        <w:spacing w:after="40" w:before="40" w:line="280"/>
      </w:pPr>
      <w:r>
        <w:rPr>
          <w:color w:val="13272F"/>
          <w:sz w:val="20"/>
          <w:szCs w:val="20"/>
        </w:rPr>
        <w:t xml:space="preserve">Pick on </w:t>
      </w:r>
      <w:r>
        <w:rPr>
          <w:b/>
          <w:bCs/>
          <w:color w:val="13272F"/>
          <w:sz w:val="20"/>
          <w:szCs w:val="20"/>
        </w:rPr>
        <w:t xml:space="preserve">leakage rate first</w:t>
      </w:r>
      <w:r>
        <w:rPr>
          <w:color w:val="13272F"/>
          <w:sz w:val="20"/>
          <w:szCs w:val="20"/>
        </w:rPr>
        <w:t xml:space="preserve">, cost second, latency third</w:t>
      </w:r>
    </w:p>
    <w:p>
      <w:pPr>
        <w:spacing w:after="120" w:before="60" w:line="300"/>
      </w:pPr>
      <w:r>
        <w:rPr>
          <w:color w:val="13272F"/>
          <w:sz w:val="20"/>
          <w:szCs w:val="20"/>
        </w:rPr>
        <w:t xml:space="preserve">Leakage first because leakage corrupts the measurement, and the measurement is the product.</w:t>
      </w:r>
    </w:p>
    <w:p>
      <w:pPr>
        <w:pBdr>
          <w:left w:val="single" w:color="B3651F" w:sz="16" w:space="10"/>
        </w:pBdr>
        <w:shd w:fill="FFF6E8" w:val="clear"/>
        <w:spacing w:after="160" w:before="140" w:line="300"/>
        <w:ind w:left="260" w:right="200"/>
      </w:pPr>
      <w:r>
        <w:rPr>
          <w:b/>
          <w:bCs/>
          <w:color w:val="13272F"/>
          <w:sz w:val="20"/>
          <w:szCs w:val="20"/>
        </w:rPr>
        <w:t xml:space="preserve">Design note:</w:t>
      </w:r>
      <w:r>
        <w:rPr>
          <w:color w:val="13272F"/>
          <w:sz w:val="20"/>
          <w:szCs w:val="20"/>
        </w:rPr>
        <w:t xml:space="preserve"> the LLM gateway (v1 §4.3) already abstracts the provider. Switching J1 is a config change, not a refactor. Keep it that way.</w:t>
      </w:r>
    </w:p>
    <w:p>
      <w:pPr>
        <w:pStyle w:val="Heading2"/>
        <w:spacing w:after="130" w:before="300"/>
      </w:pPr>
      <w:r>
        <w:rPr>
          <w:rFonts w:ascii="Georgia" w:cs="Georgia" w:eastAsia="Georgia" w:hAnsi="Georgia"/>
          <w:b/>
          <w:bCs/>
          <w:color w:val="1F7A8C"/>
          <w:sz w:val="25"/>
          <w:szCs w:val="25"/>
        </w:rPr>
        <w:t xml:space="preserve">5.3 J2 — Feedback generation</w:t>
      </w:r>
    </w:p>
    <w:p>
      <w:pPr>
        <w:spacing w:after="120" w:before="60" w:line="300"/>
      </w:pPr>
      <w:r>
        <w:rPr>
          <w:color w:val="13272F"/>
          <w:sz w:val="20"/>
          <w:szCs w:val="20"/>
        </w:rPr>
        <w:t xml:space="preserve">Once per session, so cost per call barely matters. Quality does: this is the text the user actually reads and judges the product by. It must also obey hard constraints — never name a bias, never reveal the diagnosis when the student was wrong.</w:t>
      </w:r>
    </w:p>
    <w:p>
      <w:pPr>
        <w:spacing w:after="120" w:before="60" w:line="300"/>
      </w:pPr>
      <w:r>
        <w:rPr>
          <w:b/>
          <w:bCs/>
          <w:color w:val="13272F"/>
          <w:sz w:val="20"/>
          <w:szCs w:val="20"/>
        </w:rPr>
        <w:t xml:space="preserve">Recommendation: use a stronger model here than for J1.</w:t>
      </w:r>
      <w:r>
        <w:rPr>
          <w:color w:val="13272F"/>
          <w:sz w:val="20"/>
          <w:szCs w:val="20"/>
        </w:rPr>
        <w:t xml:space="preserve"> GPT-4o, Claude Sonnet, or Gemini Pro. The cost difference across a whole session is cents; the quality difference is what the user perceives as "this app is good."</w:t>
      </w:r>
    </w:p>
    <w:p>
      <w:pPr>
        <w:spacing w:after="120" w:before="60" w:line="300"/>
      </w:pPr>
      <w:r>
        <w:rPr>
          <w:color w:val="13272F"/>
          <w:sz w:val="20"/>
          <w:szCs w:val="20"/>
        </w:rPr>
        <w:t xml:space="preserve">This is the clearest case in the system for </w:t>
      </w:r>
      <w:r>
        <w:rPr>
          <w:b/>
          <w:bCs/>
          <w:color w:val="13272F"/>
          <w:sz w:val="20"/>
          <w:szCs w:val="20"/>
        </w:rPr>
        <w:t xml:space="preserve">model tiering</w:t>
      </w:r>
      <w:r>
        <w:rPr>
          <w:color w:val="13272F"/>
          <w:sz w:val="20"/>
          <w:szCs w:val="20"/>
        </w:rPr>
        <w:t xml:space="preserve">: cheap fast model for the many calls, strong model for the one that matters.</w:t>
      </w:r>
    </w:p>
    <w:p>
      <w:pPr>
        <w:pStyle w:val="Heading2"/>
        <w:spacing w:after="130" w:before="300"/>
      </w:pPr>
      <w:r>
        <w:rPr>
          <w:rFonts w:ascii="Georgia" w:cs="Georgia" w:eastAsia="Georgia" w:hAnsi="Georgia"/>
          <w:b/>
          <w:bCs/>
          <w:color w:val="1F7A8C"/>
          <w:sz w:val="25"/>
          <w:szCs w:val="25"/>
        </w:rPr>
        <w:t xml:space="preserve">5.4 J3 and J4 — the Case Factory</w:t>
      </w:r>
    </w:p>
    <w:p>
      <w:pPr>
        <w:spacing w:after="120" w:before="60" w:line="300"/>
      </w:pPr>
      <w:r>
        <w:rPr>
          <w:color w:val="13272F"/>
          <w:sz w:val="20"/>
          <w:szCs w:val="20"/>
        </w:rPr>
        <w:t xml:space="preserve">Batch, offline, low volume, high stakes — a bad case reaches real users.</w:t>
      </w:r>
    </w:p>
    <w:p>
      <w:pPr>
        <w:spacing w:after="120" w:before="60" w:line="300"/>
      </w:pPr>
      <w:r>
        <w:rPr>
          <w:b/>
          <w:bCs/>
          <w:color w:val="13272F"/>
          <w:sz w:val="20"/>
          <w:szCs w:val="20"/>
        </w:rPr>
        <w:t xml:space="preserve">J3 Extraction</w:t>
      </w:r>
      <w:r>
        <w:rPr>
          <w:color w:val="13272F"/>
          <w:sz w:val="20"/>
          <w:szCs w:val="20"/>
        </w:rPr>
        <w:t xml:space="preserve"> needs reliable structured output. Recommended: </w:t>
      </w:r>
      <w:r>
        <w:rPr>
          <w:b/>
          <w:bCs/>
          <w:color w:val="13272F"/>
          <w:sz w:val="20"/>
          <w:szCs w:val="20"/>
        </w:rPr>
        <w:t xml:space="preserve">GPT-4o</w:t>
      </w:r>
      <w:r>
        <w:rPr>
          <w:color w:val="13272F"/>
          <w:sz w:val="20"/>
          <w:szCs w:val="20"/>
        </w:rPr>
        <w:t xml:space="preserve"> or </w:t>
      </w:r>
      <w:r>
        <w:rPr>
          <w:b/>
          <w:bCs/>
          <w:color w:val="13272F"/>
          <w:sz w:val="20"/>
          <w:szCs w:val="20"/>
        </w:rPr>
        <w:t xml:space="preserve">Claude Sonnet</w:t>
      </w:r>
      <w:r>
        <w:rPr>
          <w:color w:val="13272F"/>
          <w:sz w:val="20"/>
          <w:szCs w:val="20"/>
        </w:rPr>
        <w:t xml:space="preserve">. Both support strict schema-constrained generation, which matters because your </w:t>
      </w:r>
      <w:r>
        <w:rPr>
          <w:rFonts w:ascii="Consolas" w:cs="Consolas" w:eastAsia="Consolas" w:hAnsi="Consolas"/>
          <w:color w:val="B3651F"/>
          <w:sz w:val="18"/>
          <w:szCs w:val="18"/>
        </w:rPr>
        <w:t xml:space="preserve">GeneratedCase</w:t>
      </w:r>
      <w:r>
        <w:rPr>
          <w:color w:val="13272F"/>
          <w:sz w:val="20"/>
          <w:szCs w:val="20"/>
        </w:rPr>
        <w:t xml:space="preserve"> schema has enum-bound fields (§v1 5.3).</w:t>
      </w:r>
    </w:p>
    <w:p>
      <w:pPr>
        <w:spacing w:after="120" w:before="60" w:line="300"/>
      </w:pPr>
      <w:r>
        <w:rPr>
          <w:b/>
          <w:bCs/>
          <w:color w:val="13272F"/>
          <w:sz w:val="20"/>
          <w:szCs w:val="20"/>
        </w:rPr>
        <w:t xml:space="preserve">J4 Judge must be a different model from J3.</w:t>
      </w:r>
      <w:r>
        <w:rPr>
          <w:color w:val="13272F"/>
          <w:sz w:val="20"/>
          <w:szCs w:val="20"/>
        </w:rPr>
        <w:t xml:space="preserve"> If the same model both writes and grades, its errors are correlated — it will not catch its own blind spots. If extraction uses GPT-4o, judge with Claude Sonnet, or vice versa. This is not paranoia; it is the same reason you do not mark your own exam.</w:t>
      </w:r>
    </w:p>
    <w:p>
      <w:pPr>
        <w:pStyle w:val="Heading2"/>
        <w:spacing w:after="130" w:before="300"/>
      </w:pPr>
      <w:r>
        <w:rPr>
          <w:rFonts w:ascii="Georgia" w:cs="Georgia" w:eastAsia="Georgia" w:hAnsi="Georgia"/>
          <w:b/>
          <w:bCs/>
          <w:color w:val="1F7A8C"/>
          <w:sz w:val="25"/>
          <w:szCs w:val="25"/>
        </w:rPr>
        <w:t xml:space="preserve">5.5 J5 and the "is an LLM even necessary?" question</w:t>
      </w:r>
    </w:p>
    <w:p>
      <w:pPr>
        <w:spacing w:after="120" w:before="60" w:line="300"/>
      </w:pPr>
      <w:r>
        <w:rPr>
          <w:b/>
          <w:bCs/>
          <w:color w:val="13272F"/>
          <w:sz w:val="20"/>
          <w:szCs w:val="20"/>
        </w:rPr>
        <w:t xml:space="preserve">This is your best question in the whole brief, and the answer is: no, not everywhere.</w:t>
      </w:r>
    </w:p>
    <w:p>
      <w:pPr>
        <w:spacing w:after="120" w:before="60" w:line="300"/>
      </w:pPr>
      <w:r>
        <w:rPr>
          <w:color w:val="13272F"/>
          <w:sz w:val="20"/>
          <w:szCs w:val="20"/>
        </w:rPr>
        <w:t xml:space="preserve">Roughly half the Case Factory does not need an LLM at all. Using one there is slower, more expensive, and </w:t>
      </w:r>
      <w:r>
        <w:rPr>
          <w:i/>
          <w:iCs/>
          <w:color w:val="13272F"/>
          <w:sz w:val="20"/>
          <w:szCs w:val="20"/>
        </w:rPr>
        <w:t xml:space="preserve">less</w:t>
      </w:r>
      <w:r>
        <w:rPr>
          <w:color w:val="13272F"/>
          <w:sz w:val="20"/>
          <w:szCs w:val="20"/>
        </w:rPr>
        <w:t xml:space="preserve"> reliable because it introduces non-determinism into steps that should be deterministic.</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68"/>
        <w:gridCol w:w="1019"/>
        <w:gridCol w:w="6673"/>
      </w:tblGrid>
      <w:tr>
        <w:trPr>
          <w:tblHeader/>
        </w:trPr>
        <w:tc>
          <w:tcPr>
            <w:tcW w:type="dxa" w:w="1668"/>
            <w:shd w:fill="13272F" w:val="clear"/>
            <w:tcMar>
              <w:top w:type="dxa" w:w="70"/>
              <w:left w:type="dxa" w:w="110"/>
              <w:bottom w:type="dxa" w:w="70"/>
              <w:right w:type="dxa" w:w="110"/>
            </w:tcMar>
          </w:tcPr>
          <w:p>
            <w:pPr>
              <w:spacing w:after="0" w:before="0"/>
            </w:pPr>
            <w:r>
              <w:rPr>
                <w:b/>
                <w:bCs/>
                <w:color w:val="FFFFFF"/>
                <w:sz w:val="17"/>
                <w:szCs w:val="17"/>
              </w:rPr>
              <w:t xml:space="preserve">Pipeline stage</w:t>
            </w:r>
          </w:p>
        </w:tc>
        <w:tc>
          <w:tcPr>
            <w:tcW w:type="dxa" w:w="1019"/>
            <w:shd w:fill="13272F" w:val="clear"/>
            <w:tcMar>
              <w:top w:type="dxa" w:w="70"/>
              <w:left w:type="dxa" w:w="110"/>
              <w:bottom w:type="dxa" w:w="70"/>
              <w:right w:type="dxa" w:w="110"/>
            </w:tcMar>
          </w:tcPr>
          <w:p>
            <w:pPr>
              <w:spacing w:after="0" w:before="0"/>
            </w:pPr>
            <w:r>
              <w:rPr>
                <w:b/>
                <w:bCs/>
                <w:color w:val="FFFFFF"/>
                <w:sz w:val="17"/>
                <w:szCs w:val="17"/>
              </w:rPr>
              <w:t xml:space="preserve">LLM needed?</w:t>
            </w:r>
          </w:p>
        </w:tc>
        <w:tc>
          <w:tcPr>
            <w:tcW w:type="dxa" w:w="6673"/>
            <w:shd w:fill="13272F" w:val="clear"/>
            <w:tcMar>
              <w:top w:type="dxa" w:w="70"/>
              <w:left w:type="dxa" w:w="110"/>
              <w:bottom w:type="dxa" w:w="70"/>
              <w:right w:type="dxa" w:w="110"/>
            </w:tcMar>
          </w:tcPr>
          <w:p>
            <w:pPr>
              <w:spacing w:after="0" w:before="0"/>
            </w:pPr>
            <w:r>
              <w:rPr>
                <w:b/>
                <w:bCs/>
                <w:color w:val="FFFFFF"/>
                <w:sz w:val="17"/>
                <w:szCs w:val="17"/>
              </w:rPr>
              <w:t xml:space="preserve">Better method</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Source connector</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Plain parsing code</w:t>
            </w:r>
          </w:p>
        </w:tc>
      </w:tr>
      <w:tr>
        <w:trPr>
          <w:tblHeader w:val="false"/>
        </w:trPr>
        <w:tc>
          <w:tcPr>
            <w:tcW w:type="dxa" w:w="1668"/>
            <w:shd w:fill="F7FAFB" w:val="clear"/>
            <w:tcMar>
              <w:top w:type="dxa" w:w="70"/>
              <w:left w:type="dxa" w:w="110"/>
              <w:bottom w:type="dxa" w:w="70"/>
              <w:right w:type="dxa" w:w="110"/>
            </w:tcMar>
          </w:tcPr>
          <w:p>
            <w:pPr>
              <w:spacing w:after="0" w:before="0"/>
            </w:pPr>
            <w:r>
              <w:rPr>
                <w:color w:val="13272F"/>
                <w:sz w:val="17"/>
                <w:szCs w:val="17"/>
              </w:rPr>
              <w:t xml:space="preserve">Candidate filter</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7FAFB" w:val="clear"/>
            <w:tcMar>
              <w:top w:type="dxa" w:w="70"/>
              <w:left w:type="dxa" w:w="110"/>
              <w:bottom w:type="dxa" w:w="70"/>
              <w:right w:type="dxa" w:w="110"/>
            </w:tcMar>
          </w:tcPr>
          <w:p>
            <w:pPr>
              <w:spacing w:after="0" w:before="0"/>
            </w:pPr>
            <w:r>
              <w:rPr>
                <w:color w:val="13272F"/>
                <w:sz w:val="17"/>
                <w:szCs w:val="17"/>
              </w:rPr>
              <w:t xml:space="preserve">Rules — has a diagnosis? enough fields?</w:t>
            </w:r>
          </w:p>
        </w:tc>
      </w:tr>
      <w:tr>
        <w:trPr>
          <w:tblHeader w:val="false"/>
        </w:trPr>
        <w:tc>
          <w:tcPr>
            <w:tcW w:type="dxa" w:w="1668"/>
            <w:shd w:fill="FFFFFF" w:val="clear"/>
            <w:tcMar>
              <w:top w:type="dxa" w:w="70"/>
              <w:left w:type="dxa" w:w="110"/>
              <w:bottom w:type="dxa" w:w="70"/>
              <w:right w:type="dxa" w:w="110"/>
            </w:tcMar>
          </w:tcPr>
          <w:p>
            <w:pPr>
              <w:spacing w:after="0" w:before="0"/>
            </w:pPr>
            <w:r>
              <w:rPr>
                <w:b/>
                <w:bCs/>
                <w:color w:val="13272F"/>
                <w:sz w:val="17"/>
                <w:szCs w:val="17"/>
              </w:rPr>
              <w:t xml:space="preserve">Deduplication</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b/>
                <w:bCs/>
                <w:color w:val="13272F"/>
                <w:sz w:val="17"/>
                <w:szCs w:val="17"/>
              </w:rPr>
              <w:t xml:space="preserve">Embeddings + cosine similarity.</w:t>
            </w:r>
            <w:r>
              <w:rPr>
                <w:color w:val="13272F"/>
                <w:sz w:val="17"/>
                <w:szCs w:val="17"/>
              </w:rPr>
              <w:t xml:space="preserve"> Faster, deterministic, ~free</w:t>
            </w:r>
          </w:p>
        </w:tc>
      </w:tr>
      <w:tr>
        <w:trPr>
          <w:tblHeader w:val="false"/>
        </w:trPr>
        <w:tc>
          <w:tcPr>
            <w:tcW w:type="dxa" w:w="1668"/>
            <w:shd w:fill="F7FAFB" w:val="clear"/>
            <w:tcMar>
              <w:top w:type="dxa" w:w="70"/>
              <w:left w:type="dxa" w:w="110"/>
              <w:bottom w:type="dxa" w:w="70"/>
              <w:right w:type="dxa" w:w="110"/>
            </w:tcMar>
          </w:tcPr>
          <w:p>
            <w:pPr>
              <w:spacing w:after="0" w:before="0"/>
            </w:pPr>
            <w:r>
              <w:rPr>
                <w:b/>
                <w:bCs/>
                <w:color w:val="13272F"/>
                <w:sz w:val="17"/>
                <w:szCs w:val="17"/>
              </w:rPr>
              <w:t xml:space="preserve">Vocabulary mapping</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Mostly no</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Fuzzy string match + embeddings.</w:t>
            </w:r>
            <w:r>
              <w:rPr>
                <w:color w:val="13272F"/>
                <w:sz w:val="17"/>
                <w:szCs w:val="17"/>
              </w:rPr>
              <w:t xml:space="preserve"> LLM only for the residual unmapped tail</w:t>
            </w:r>
          </w:p>
        </w:tc>
      </w:tr>
      <w:tr>
        <w:trPr>
          <w:tblHeader w:val="false"/>
        </w:trPr>
        <w:tc>
          <w:tcPr>
            <w:tcW w:type="dxa" w:w="1668"/>
            <w:shd w:fill="FFFFFF" w:val="clear"/>
            <w:tcMar>
              <w:top w:type="dxa" w:w="70"/>
              <w:left w:type="dxa" w:w="110"/>
              <w:bottom w:type="dxa" w:w="70"/>
              <w:right w:type="dxa" w:w="110"/>
            </w:tcMar>
          </w:tcPr>
          <w:p>
            <w:pPr>
              <w:spacing w:after="0" w:before="0"/>
            </w:pPr>
            <w:r>
              <w:rPr>
                <w:b/>
                <w:bCs/>
                <w:color w:val="13272F"/>
                <w:sz w:val="17"/>
                <w:szCs w:val="17"/>
              </w:rPr>
              <w:t xml:space="preserve">Extraction</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Yes</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Genuinely requires generation — no alternative</w:t>
            </w:r>
          </w:p>
        </w:tc>
      </w:tr>
      <w:tr>
        <w:trPr>
          <w:tblHeader w:val="false"/>
        </w:trPr>
        <w:tc>
          <w:tcPr>
            <w:tcW w:type="dxa" w:w="1668"/>
            <w:shd w:fill="F7FAFB" w:val="clear"/>
            <w:tcMar>
              <w:top w:type="dxa" w:w="70"/>
              <w:left w:type="dxa" w:w="110"/>
              <w:bottom w:type="dxa" w:w="70"/>
              <w:right w:type="dxa" w:w="110"/>
            </w:tcMar>
          </w:tcPr>
          <w:p>
            <w:pPr>
              <w:spacing w:after="0" w:before="0"/>
            </w:pPr>
            <w:r>
              <w:rPr>
                <w:b/>
                <w:bCs/>
                <w:color w:val="13272F"/>
                <w:sz w:val="17"/>
                <w:szCs w:val="17"/>
              </w:rPr>
              <w:t xml:space="preserve">Grounding check</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Partly</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NLI model</w:t>
            </w:r>
            <w:r>
              <w:rPr>
                <w:color w:val="13272F"/>
                <w:sz w:val="17"/>
                <w:szCs w:val="17"/>
              </w:rPr>
              <w:t xml:space="preserve"> (see below) — cheaper and more consistent than an LLM</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Judge</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Yes</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Holistic clinical plausibility needs a generative model</w:t>
            </w:r>
          </w:p>
        </w:tc>
      </w:tr>
      <w:tr>
        <w:trPr>
          <w:tblHeader w:val="false"/>
        </w:trPr>
        <w:tc>
          <w:tcPr>
            <w:tcW w:type="dxa" w:w="1668"/>
            <w:shd w:fill="F7FAFB" w:val="clear"/>
            <w:tcMar>
              <w:top w:type="dxa" w:w="70"/>
              <w:left w:type="dxa" w:w="110"/>
              <w:bottom w:type="dxa" w:w="70"/>
              <w:right w:type="dxa" w:w="110"/>
            </w:tcMar>
          </w:tcPr>
          <w:p>
            <w:pPr>
              <w:spacing w:after="0" w:before="0"/>
            </w:pPr>
            <w:r>
              <w:rPr>
                <w:color w:val="13272F"/>
                <w:sz w:val="17"/>
                <w:szCs w:val="17"/>
              </w:rPr>
              <w:t xml:space="preserve">Trap self-test</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No</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Your own detectors.</w:t>
            </w:r>
            <w:r>
              <w:rPr>
                <w:color w:val="13272F"/>
                <w:sz w:val="17"/>
                <w:szCs w:val="17"/>
              </w:rPr>
              <w:t xml:space="preserve"> This gate uses zero AI — it is pure code</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Publish governance</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Policy rules</w:t>
            </w:r>
          </w:p>
        </w:tc>
      </w:tr>
    </w:tbl>
    <w:p>
      <w:pPr>
        <w:spacing w:after="160"/>
      </w:pPr>
    </w:p>
    <w:p>
      <w:pPr>
        <w:pStyle w:val="Heading3"/>
        <w:spacing w:after="100" w:before="220"/>
      </w:pPr>
      <w:r>
        <w:rPr>
          <w:rFonts w:ascii="Georgia" w:cs="Georgia" w:eastAsia="Georgia" w:hAnsi="Georgia"/>
          <w:b/>
          <w:bCs/>
          <w:color w:val="13272F"/>
          <w:sz w:val="22"/>
          <w:szCs w:val="22"/>
        </w:rPr>
        <w:t xml:space="preserve">The grounding check deserves special attention</w:t>
      </w:r>
    </w:p>
    <w:p>
      <w:pPr>
        <w:spacing w:after="120" w:before="60" w:line="300"/>
      </w:pPr>
      <w:r>
        <w:rPr>
          <w:color w:val="13272F"/>
          <w:sz w:val="20"/>
          <w:szCs w:val="20"/>
        </w:rPr>
        <w:t xml:space="preserve">Grounding asks: </w:t>
      </w:r>
      <w:r>
        <w:rPr>
          <w:i/>
          <w:iCs/>
          <w:color w:val="13272F"/>
          <w:sz w:val="20"/>
          <w:szCs w:val="20"/>
        </w:rPr>
        <w:t xml:space="preserve">is this generated fact supported by the source text?</w:t>
      </w:r>
      <w:r>
        <w:rPr>
          <w:color w:val="13272F"/>
          <w:sz w:val="20"/>
          <w:szCs w:val="20"/>
        </w:rPr>
        <w:t xml:space="preserve"> That is exactly </w:t>
      </w:r>
      <w:r>
        <w:rPr>
          <w:b/>
          <w:bCs/>
          <w:color w:val="13272F"/>
          <w:sz w:val="20"/>
          <w:szCs w:val="20"/>
        </w:rPr>
        <w:t xml:space="preserve">Natural Language Inference</w:t>
      </w:r>
      <w:r>
        <w:rPr>
          <w:color w:val="13272F"/>
          <w:sz w:val="20"/>
          <w:szCs w:val="20"/>
        </w:rPr>
        <w:t xml:space="preserve"> — a well-established task with small, fast, purpose-built models.</w:t>
      </w:r>
    </w:p>
    <w:p>
      <w:pPr>
        <w:spacing w:after="120" w:before="60" w:line="300"/>
      </w:pPr>
      <w:r>
        <w:rPr>
          <w:color w:val="13272F"/>
          <w:sz w:val="20"/>
          <w:szCs w:val="20"/>
        </w:rPr>
        <w:t xml:space="preserve">A DeBERTa-class NLI model fine-tuned on MNLI classifies (premise, hypothesis) as entailment / neutral / contradiction. It is ~400 MB, runs on CPU, is deterministic, and costs nothing per call. For "does this source text entail this claim?", it is </w:t>
      </w:r>
      <w:r>
        <w:rPr>
          <w:b/>
          <w:bCs/>
          <w:color w:val="13272F"/>
          <w:sz w:val="20"/>
          <w:szCs w:val="20"/>
        </w:rPr>
        <w:t xml:space="preserve">more appropriate than an LLM</w:t>
      </w:r>
      <w:r>
        <w:rPr>
          <w:color w:val="13272F"/>
          <w:sz w:val="20"/>
          <w:szCs w:val="20"/>
        </w:rPr>
        <w:t xml:space="preserve"> — narrower task, more consistent, auditable.</w:t>
      </w:r>
    </w:p>
    <w:p>
      <w:pPr>
        <w:spacing w:after="120" w:before="60" w:line="300"/>
      </w:pPr>
      <w:r>
        <w:rPr>
          <w:b/>
          <w:bCs/>
          <w:color w:val="13272F"/>
          <w:sz w:val="20"/>
          <w:szCs w:val="20"/>
        </w:rPr>
        <w:t xml:space="preserve">Recommendation: use an NLI model for grounding, escalating to an LLM only for cases the NLI model marks uncertain.</w:t>
      </w:r>
      <w:r>
        <w:rPr>
          <w:color w:val="13272F"/>
          <w:sz w:val="20"/>
          <w:szCs w:val="20"/>
        </w:rPr>
        <w:t xml:space="preserve"> This is a genuine engineering improvement over an all-LLM pipeline, not just a cost saving.</w:t>
      </w:r>
    </w:p>
    <w:p>
      <w:pPr>
        <w:pStyle w:val="Heading3"/>
        <w:spacing w:after="100" w:before="220"/>
      </w:pPr>
      <w:r>
        <w:rPr>
          <w:rFonts w:ascii="Georgia" w:cs="Georgia" w:eastAsia="Georgia" w:hAnsi="Georgia"/>
          <w:b/>
          <w:bCs/>
          <w:color w:val="13272F"/>
          <w:sz w:val="22"/>
          <w:szCs w:val="22"/>
        </w:rPr>
        <w:t xml:space="preserve">The principle</w:t>
      </w:r>
    </w:p>
    <w:p>
      <w:pPr>
        <w:pBdr>
          <w:left w:val="single" w:color="B3651F" w:sz="16" w:space="10"/>
        </w:pBdr>
        <w:shd w:fill="FFF6E8" w:val="clear"/>
        <w:spacing w:after="160" w:before="140" w:line="300"/>
        <w:ind w:left="260" w:right="200"/>
      </w:pPr>
      <w:r>
        <w:rPr>
          <w:b/>
          <w:bCs/>
          <w:color w:val="13272F"/>
          <w:sz w:val="20"/>
          <w:szCs w:val="20"/>
        </w:rPr>
        <w:t xml:space="preserve">Use an LLM where you need open-ended generation. Use a smaller specialised model where you need classification. Use plain code where you need a decision rule.</w:t>
      </w:r>
    </w:p>
    <w:p>
      <w:pPr>
        <w:spacing w:after="120" w:before="60" w:line="300"/>
      </w:pPr>
      <w:r>
        <w:rPr>
          <w:color w:val="13272F"/>
          <w:sz w:val="20"/>
          <w:szCs w:val="20"/>
        </w:rPr>
        <w:t xml:space="preserve">An all-LLM pipeline is the mark of a prototype. A production pipeline uses the cheapest sufficient tool at each stage. Your </w:t>
      </w:r>
      <w:r>
        <w:rPr>
          <w:b/>
          <w:bCs/>
          <w:color w:val="13272F"/>
          <w:sz w:val="20"/>
          <w:szCs w:val="20"/>
        </w:rPr>
        <w:t xml:space="preserve">trap self-test</w:t>
      </w:r>
      <w:r>
        <w:rPr>
          <w:color w:val="13272F"/>
          <w:sz w:val="20"/>
          <w:szCs w:val="20"/>
        </w:rPr>
        <w:t xml:space="preserve"> — arguably the most important gate — uses no AI whatsoever, and that is a strength.</w:t>
      </w:r>
    </w:p>
    <w:p>
      <w:pPr>
        <w:pStyle w:val="Heading2"/>
        <w:spacing w:after="130" w:before="300"/>
      </w:pPr>
      <w:r>
        <w:rPr>
          <w:rFonts w:ascii="Georgia" w:cs="Georgia" w:eastAsia="Georgia" w:hAnsi="Georgia"/>
          <w:b/>
          <w:bCs/>
          <w:color w:val="1F7A8C"/>
          <w:sz w:val="25"/>
          <w:szCs w:val="25"/>
        </w:rPr>
        <w:t xml:space="preserve">5.6 Estimated cost per session</w:t>
      </w:r>
    </w:p>
    <w:p>
      <w:pPr>
        <w:spacing w:after="120" w:before="60" w:line="300"/>
      </w:pPr>
      <w:r>
        <w:rPr>
          <w:color w:val="13272F"/>
          <w:sz w:val="20"/>
          <w:szCs w:val="20"/>
        </w:rPr>
        <w:t xml:space="preserve">Rough working, for budgeting. </w:t>
      </w:r>
      <w:r>
        <w:rPr>
          <w:b/>
          <w:bCs/>
          <w:color w:val="13272F"/>
          <w:sz w:val="20"/>
          <w:szCs w:val="20"/>
        </w:rPr>
        <w:t xml:space="preserve">Verify current provider pricing before relying on these.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Per consultation (~8 questions):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system prompt   ~800 tok, resent each turn      →  ~6 400 input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growing history                                 →  ~8 000 input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replies ~150 tok × 8                    →  ~1 200 output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call    ~2 000 in / ~450 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Total ≈ 16 400 input + 1 650 output tokens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868"/>
        <w:gridCol w:w="4492"/>
      </w:tblGrid>
      <w:tr>
        <w:trPr>
          <w:tblHeader/>
        </w:trPr>
        <w:tc>
          <w:tcPr>
            <w:tcW w:type="dxa" w:w="4868"/>
            <w:shd w:fill="13272F" w:val="clear"/>
            <w:tcMar>
              <w:top w:type="dxa" w:w="70"/>
              <w:left w:type="dxa" w:w="110"/>
              <w:bottom w:type="dxa" w:w="70"/>
              <w:right w:type="dxa" w:w="110"/>
            </w:tcMar>
          </w:tcPr>
          <w:p>
            <w:pPr>
              <w:spacing w:after="0" w:before="0"/>
            </w:pPr>
            <w:r>
              <w:rPr>
                <w:b/>
                <w:bCs/>
                <w:color w:val="FFFFFF"/>
                <w:sz w:val="17"/>
                <w:szCs w:val="17"/>
              </w:rPr>
              <w:t xml:space="preserve">Model for J1</w:t>
            </w:r>
          </w:p>
        </w:tc>
        <w:tc>
          <w:tcPr>
            <w:tcW w:type="dxa" w:w="4492"/>
            <w:shd w:fill="13272F" w:val="clear"/>
            <w:tcMar>
              <w:top w:type="dxa" w:w="70"/>
              <w:left w:type="dxa" w:w="110"/>
              <w:bottom w:type="dxa" w:w="70"/>
              <w:right w:type="dxa" w:w="110"/>
            </w:tcMar>
          </w:tcPr>
          <w:p>
            <w:pPr>
              <w:spacing w:after="0" w:before="0"/>
            </w:pPr>
            <w:r>
              <w:rPr>
                <w:b/>
                <w:bCs/>
                <w:color w:val="FFFFFF"/>
                <w:sz w:val="17"/>
                <w:szCs w:val="17"/>
              </w:rPr>
              <w:t xml:space="preserve">Approx. cost per session</w:t>
            </w:r>
          </w:p>
        </w:tc>
      </w:tr>
      <w:tr>
        <w:trPr>
          <w:tblHeader w:val="false"/>
        </w:trPr>
        <w:tc>
          <w:tcPr>
            <w:tcW w:type="dxa" w:w="4868"/>
            <w:shd w:fill="FFFFFF" w:val="clear"/>
            <w:tcMar>
              <w:top w:type="dxa" w:w="70"/>
              <w:left w:type="dxa" w:w="110"/>
              <w:bottom w:type="dxa" w:w="70"/>
              <w:right w:type="dxa" w:w="110"/>
            </w:tcMar>
          </w:tcPr>
          <w:p>
            <w:pPr>
              <w:spacing w:after="0" w:before="0"/>
            </w:pPr>
            <w:r>
              <w:rPr>
                <w:color w:val="13272F"/>
                <w:sz w:val="17"/>
                <w:szCs w:val="17"/>
              </w:rPr>
              <w:t xml:space="preserve">GPT-4o-mini</w:t>
            </w:r>
          </w:p>
        </w:tc>
        <w:tc>
          <w:tcPr>
            <w:tcW w:type="dxa" w:w="4492"/>
            <w:shd w:fill="FFFFFF" w:val="clear"/>
            <w:tcMar>
              <w:top w:type="dxa" w:w="70"/>
              <w:left w:type="dxa" w:w="110"/>
              <w:bottom w:type="dxa" w:w="70"/>
              <w:right w:type="dxa" w:w="110"/>
            </w:tcMar>
          </w:tcPr>
          <w:p>
            <w:pPr>
              <w:spacing w:after="0" w:before="0"/>
            </w:pPr>
            <w:r>
              <w:rPr>
                <w:color w:val="13272F"/>
                <w:sz w:val="17"/>
                <w:szCs w:val="17"/>
              </w:rPr>
              <w:t xml:space="preserve">~$0.003</w:t>
            </w:r>
          </w:p>
        </w:tc>
      </w:tr>
      <w:tr>
        <w:trPr>
          <w:tblHeader w:val="false"/>
        </w:trPr>
        <w:tc>
          <w:tcPr>
            <w:tcW w:type="dxa" w:w="4868"/>
            <w:shd w:fill="F7FAFB" w:val="clear"/>
            <w:tcMar>
              <w:top w:type="dxa" w:w="70"/>
              <w:left w:type="dxa" w:w="110"/>
              <w:bottom w:type="dxa" w:w="70"/>
              <w:right w:type="dxa" w:w="110"/>
            </w:tcMar>
          </w:tcPr>
          <w:p>
            <w:pPr>
              <w:spacing w:after="0" w:before="0"/>
            </w:pPr>
            <w:r>
              <w:rPr>
                <w:color w:val="13272F"/>
                <w:sz w:val="17"/>
                <w:szCs w:val="17"/>
              </w:rPr>
              <w:t xml:space="preserve">Llama 3.3 70B (Groq)</w:t>
            </w:r>
          </w:p>
        </w:tc>
        <w:tc>
          <w:tcPr>
            <w:tcW w:type="dxa" w:w="4492"/>
            <w:shd w:fill="F7FAFB" w:val="clear"/>
            <w:tcMar>
              <w:top w:type="dxa" w:w="70"/>
              <w:left w:type="dxa" w:w="110"/>
              <w:bottom w:type="dxa" w:w="70"/>
              <w:right w:type="dxa" w:w="110"/>
            </w:tcMar>
          </w:tcPr>
          <w:p>
            <w:pPr>
              <w:spacing w:after="0" w:before="0"/>
            </w:pPr>
            <w:r>
              <w:rPr>
                <w:color w:val="13272F"/>
                <w:sz w:val="17"/>
                <w:szCs w:val="17"/>
              </w:rPr>
              <w:t xml:space="preserve">~$0.010</w:t>
            </w:r>
          </w:p>
        </w:tc>
      </w:tr>
      <w:tr>
        <w:trPr>
          <w:tblHeader w:val="false"/>
        </w:trPr>
        <w:tc>
          <w:tcPr>
            <w:tcW w:type="dxa" w:w="4868"/>
            <w:shd w:fill="FFFFFF" w:val="clear"/>
            <w:tcMar>
              <w:top w:type="dxa" w:w="70"/>
              <w:left w:type="dxa" w:w="110"/>
              <w:bottom w:type="dxa" w:w="70"/>
              <w:right w:type="dxa" w:w="110"/>
            </w:tcMar>
          </w:tcPr>
          <w:p>
            <w:pPr>
              <w:spacing w:after="0" w:before="0"/>
            </w:pPr>
            <w:r>
              <w:rPr>
                <w:color w:val="13272F"/>
                <w:sz w:val="17"/>
                <w:szCs w:val="17"/>
              </w:rPr>
              <w:t xml:space="preserve">Claude Haiku</w:t>
            </w:r>
          </w:p>
        </w:tc>
        <w:tc>
          <w:tcPr>
            <w:tcW w:type="dxa" w:w="4492"/>
            <w:shd w:fill="FFFFFF" w:val="clear"/>
            <w:tcMar>
              <w:top w:type="dxa" w:w="70"/>
              <w:left w:type="dxa" w:w="110"/>
              <w:bottom w:type="dxa" w:w="70"/>
              <w:right w:type="dxa" w:w="110"/>
            </w:tcMar>
          </w:tcPr>
          <w:p>
            <w:pPr>
              <w:spacing w:after="0" w:before="0"/>
            </w:pPr>
            <w:r>
              <w:rPr>
                <w:color w:val="13272F"/>
                <w:sz w:val="17"/>
                <w:szCs w:val="17"/>
              </w:rPr>
              <w:t xml:space="preserve">~$0.020</w:t>
            </w:r>
          </w:p>
        </w:tc>
      </w:tr>
      <w:tr>
        <w:trPr>
          <w:tblHeader w:val="false"/>
        </w:trPr>
        <w:tc>
          <w:tcPr>
            <w:tcW w:type="dxa" w:w="4868"/>
            <w:shd w:fill="F7FAFB" w:val="clear"/>
            <w:tcMar>
              <w:top w:type="dxa" w:w="70"/>
              <w:left w:type="dxa" w:w="110"/>
              <w:bottom w:type="dxa" w:w="70"/>
              <w:right w:type="dxa" w:w="110"/>
            </w:tcMar>
          </w:tcPr>
          <w:p>
            <w:pPr>
              <w:spacing w:after="0" w:before="0"/>
            </w:pPr>
            <w:r>
              <w:rPr>
                <w:color w:val="13272F"/>
                <w:sz w:val="17"/>
                <w:szCs w:val="17"/>
              </w:rPr>
              <w:t xml:space="preserve">GPT-4o (if misused for J1)</w:t>
            </w:r>
          </w:p>
        </w:tc>
        <w:tc>
          <w:tcPr>
            <w:tcW w:type="dxa" w:w="4492"/>
            <w:shd w:fill="F7FAFB" w:val="clear"/>
            <w:tcMar>
              <w:top w:type="dxa" w:w="70"/>
              <w:left w:type="dxa" w:w="110"/>
              <w:bottom w:type="dxa" w:w="70"/>
              <w:right w:type="dxa" w:w="110"/>
            </w:tcMar>
          </w:tcPr>
          <w:p>
            <w:pPr>
              <w:spacing w:after="0" w:before="0"/>
            </w:pPr>
            <w:r>
              <w:rPr>
                <w:color w:val="13272F"/>
                <w:sz w:val="17"/>
                <w:szCs w:val="17"/>
              </w:rPr>
              <w:t xml:space="preserve">~$0.060</w:t>
            </w:r>
          </w:p>
        </w:tc>
      </w:tr>
    </w:tbl>
    <w:p>
      <w:pPr>
        <w:spacing w:after="160"/>
      </w:pPr>
    </w:p>
    <w:p>
      <w:pPr>
        <w:spacing w:after="120" w:before="60" w:line="300"/>
      </w:pPr>
      <w:r>
        <w:rPr>
          <w:b/>
          <w:bCs/>
          <w:color w:val="13272F"/>
          <w:sz w:val="20"/>
          <w:szCs w:val="20"/>
        </w:rPr>
        <w:t xml:space="preserve">At 1 000 sessions/month you are spending single-digit to low-double-digit dollars.</w:t>
      </w:r>
      <w:r>
        <w:rPr>
          <w:color w:val="13272F"/>
          <w:sz w:val="20"/>
          <w:szCs w:val="20"/>
        </w:rPr>
        <w:t xml:space="preserve"> LLM cost is not your constraint at this stage — which is precisely why you should optimise for </w:t>
      </w:r>
      <w:r>
        <w:rPr>
          <w:i/>
          <w:iCs/>
          <w:color w:val="13272F"/>
          <w:sz w:val="20"/>
          <w:szCs w:val="20"/>
        </w:rPr>
        <w:t xml:space="preserve">quality and leakage resistance</w:t>
      </w:r>
      <w:r>
        <w:rPr>
          <w:color w:val="13272F"/>
          <w:sz w:val="20"/>
          <w:szCs w:val="20"/>
        </w:rPr>
        <w:t xml:space="preserve"> on J1, not for the last fraction of a cent.</w:t>
      </w:r>
    </w:p>
    <w:p>
      <w:pPr>
        <w:spacing w:after="120" w:before="60" w:line="300"/>
      </w:pPr>
      <w:r>
        <w:rPr>
          <w:b/>
          <w:bCs/>
          <w:color w:val="13272F"/>
          <w:sz w:val="20"/>
          <w:szCs w:val="20"/>
        </w:rPr>
        <w:t xml:space="preserve">One optimisation worth doing early:</w:t>
      </w:r>
      <w:r>
        <w:rPr>
          <w:color w:val="13272F"/>
          <w:sz w:val="20"/>
          <w:szCs w:val="20"/>
        </w:rPr>
        <w:t xml:space="preserve"> prompt caching. Providers increasingly support caching a static prefix (your persona prompt) across turns, cutting input cost substantially. Check availability on whichever provider you settle 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Machine learning strategy</w:t>
      </w:r>
    </w:p>
    <w:p>
      <w:pPr>
        <w:pStyle w:val="Heading2"/>
        <w:spacing w:after="130" w:before="300"/>
      </w:pPr>
      <w:r>
        <w:rPr>
          <w:rFonts w:ascii="Georgia" w:cs="Georgia" w:eastAsia="Georgia" w:hAnsi="Georgia"/>
          <w:b/>
          <w:bCs/>
          <w:color w:val="1F7A8C"/>
          <w:sz w:val="25"/>
          <w:szCs w:val="25"/>
        </w:rPr>
        <w:t xml:space="preserve">6.1 Your question — can we build our own model?</w:t>
      </w:r>
    </w:p>
    <w:p>
      <w:pPr>
        <w:spacing w:after="120" w:before="60" w:line="300"/>
      </w:pPr>
      <w:r>
        <w:rPr>
          <w:color w:val="13272F"/>
          <w:sz w:val="20"/>
          <w:szCs w:val="20"/>
        </w:rPr>
        <w:t xml:space="preserve">You asked whether it is possible to make your own embedding model, and whether professionals use prebuilt ones.</w:t>
      </w:r>
    </w:p>
    <w:p>
      <w:pPr>
        <w:spacing w:after="120" w:before="60" w:line="300"/>
      </w:pPr>
      <w:r>
        <w:rPr>
          <w:b/>
          <w:bCs/>
          <w:color w:val="13272F"/>
          <w:sz w:val="20"/>
          <w:szCs w:val="20"/>
        </w:rPr>
        <w:t xml:space="preserve">Short answer:</w:t>
      </w:r>
      <w:r>
        <w:rPr>
          <w:color w:val="13272F"/>
          <w:sz w:val="20"/>
          <w:szCs w:val="20"/>
        </w:rPr>
        <w:t xml:space="preserve"> In 2026, "making your own model" almost never means training from scratch. It means </w:t>
      </w:r>
      <w:r>
        <w:rPr>
          <w:b/>
          <w:bCs/>
          <w:color w:val="13272F"/>
          <w:sz w:val="20"/>
          <w:szCs w:val="20"/>
        </w:rPr>
        <w:t xml:space="preserve">fine-tuning an existing one</w:t>
      </w:r>
      <w:r>
        <w:rPr>
          <w:color w:val="13272F"/>
          <w:sz w:val="20"/>
          <w:szCs w:val="20"/>
        </w:rPr>
        <w:t xml:space="preserve">. That </w:t>
      </w:r>
      <w:r>
        <w:rPr>
          <w:i/>
          <w:iCs/>
          <w:color w:val="13272F"/>
          <w:sz w:val="20"/>
          <w:szCs w:val="20"/>
        </w:rPr>
        <w:t xml:space="preserve">is</w:t>
      </w:r>
      <w:r>
        <w:rPr>
          <w:color w:val="13272F"/>
          <w:sz w:val="20"/>
          <w:szCs w:val="20"/>
        </w:rPr>
        <w:t xml:space="preserve"> what professionals do, and it is very achievable for you.</w:t>
      </w:r>
    </w:p>
    <w:p>
      <w:pPr>
        <w:pStyle w:val="Heading2"/>
        <w:spacing w:after="130" w:before="300"/>
      </w:pPr>
      <w:r>
        <w:rPr>
          <w:rFonts w:ascii="Georgia" w:cs="Georgia" w:eastAsia="Georgia" w:hAnsi="Georgia"/>
          <w:b/>
          <w:bCs/>
          <w:color w:val="1F7A8C"/>
          <w:sz w:val="25"/>
          <w:szCs w:val="25"/>
        </w:rPr>
        <w:t xml:space="preserve">6.2 The three options, honestly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2"/>
        <w:gridCol w:w="736"/>
        <w:gridCol w:w="2944"/>
        <w:gridCol w:w="4208"/>
      </w:tblGrid>
      <w:tr>
        <w:trPr>
          <w:tblHeader/>
        </w:trPr>
        <w:tc>
          <w:tcPr>
            <w:tcW w:type="dxa" w:w="1472"/>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36"/>
            <w:shd w:fill="13272F" w:val="clear"/>
            <w:tcMar>
              <w:top w:type="dxa" w:w="70"/>
              <w:left w:type="dxa" w:w="110"/>
              <w:bottom w:type="dxa" w:w="70"/>
              <w:right w:type="dxa" w:w="110"/>
            </w:tcMar>
          </w:tcPr>
          <w:p>
            <w:pPr>
              <w:spacing w:after="0" w:before="0"/>
            </w:pPr>
            <w:r>
              <w:rPr>
                <w:b/>
                <w:bCs/>
                <w:color w:val="FFFFFF"/>
                <w:sz w:val="17"/>
                <w:szCs w:val="17"/>
              </w:rPr>
              <w:t xml:space="preserve">Feasibility</w:t>
            </w:r>
          </w:p>
        </w:tc>
        <w:tc>
          <w:tcPr>
            <w:tcW w:type="dxa" w:w="2944"/>
            <w:shd w:fill="13272F" w:val="clear"/>
            <w:tcMar>
              <w:top w:type="dxa" w:w="70"/>
              <w:left w:type="dxa" w:w="110"/>
              <w:bottom w:type="dxa" w:w="70"/>
              <w:right w:type="dxa" w:w="110"/>
            </w:tcMar>
          </w:tcPr>
          <w:p>
            <w:pPr>
              <w:spacing w:after="0" w:before="0"/>
            </w:pPr>
            <w:r>
              <w:rPr>
                <w:b/>
                <w:bCs/>
                <w:color w:val="FFFFFF"/>
                <w:sz w:val="17"/>
                <w:szCs w:val="17"/>
              </w:rPr>
              <w:t xml:space="preserve">Cost</w:t>
            </w:r>
          </w:p>
        </w:tc>
        <w:tc>
          <w:tcPr>
            <w:tcW w:type="dxa" w:w="4208"/>
            <w:shd w:fill="13272F" w:val="clear"/>
            <w:tcMar>
              <w:top w:type="dxa" w:w="70"/>
              <w:left w:type="dxa" w:w="110"/>
              <w:bottom w:type="dxa" w:w="70"/>
              <w:right w:type="dxa" w:w="110"/>
            </w:tcMar>
          </w:tcPr>
          <w:p>
            <w:pPr>
              <w:spacing w:after="0" w:before="0"/>
            </w:pPr>
            <w:r>
              <w:rPr>
                <w:b/>
                <w:bCs/>
                <w:color w:val="FFFFFF"/>
                <w:sz w:val="17"/>
                <w:szCs w:val="17"/>
              </w:rPr>
              <w:t xml:space="preserve">When it makes sense</w:t>
            </w:r>
          </w:p>
        </w:tc>
      </w:tr>
      <w:tr>
        <w:trPr>
          <w:tblHeader w:val="false"/>
        </w:trPr>
        <w:tc>
          <w:tcPr>
            <w:tcW w:type="dxa" w:w="1472"/>
            <w:shd w:fill="FFFFFF" w:val="clear"/>
            <w:tcMar>
              <w:top w:type="dxa" w:w="70"/>
              <w:left w:type="dxa" w:w="110"/>
              <w:bottom w:type="dxa" w:w="70"/>
              <w:right w:type="dxa" w:w="110"/>
            </w:tcMar>
          </w:tcPr>
          <w:p>
            <w:pPr>
              <w:spacing w:after="0" w:before="0"/>
            </w:pPr>
            <w:r>
              <w:rPr>
                <w:b/>
                <w:bCs/>
                <w:color w:val="13272F"/>
                <w:sz w:val="17"/>
                <w:szCs w:val="17"/>
              </w:rPr>
              <w:t xml:space="preserve">Train from scratch</w:t>
            </w:r>
          </w:p>
        </w:tc>
        <w:tc>
          <w:tcPr>
            <w:tcW w:type="dxa" w:w="736"/>
            <w:shd w:fill="FFFFFF" w:val="clear"/>
            <w:tcMar>
              <w:top w:type="dxa" w:w="70"/>
              <w:left w:type="dxa" w:w="110"/>
              <w:bottom w:type="dxa" w:w="70"/>
              <w:right w:type="dxa" w:w="110"/>
            </w:tcMar>
          </w:tcPr>
          <w:p>
            <w:pPr>
              <w:spacing w:after="0" w:before="0"/>
            </w:pPr>
            <w:r>
              <w:rPr>
                <w:color w:val="13272F"/>
                <w:sz w:val="17"/>
                <w:szCs w:val="17"/>
              </w:rPr>
              <w:t xml:space="preserve">❌ Not viable</w:t>
            </w:r>
          </w:p>
        </w:tc>
        <w:tc>
          <w:tcPr>
            <w:tcW w:type="dxa" w:w="2944"/>
            <w:shd w:fill="FFFFFF" w:val="clear"/>
            <w:tcMar>
              <w:top w:type="dxa" w:w="70"/>
              <w:left w:type="dxa" w:w="110"/>
              <w:bottom w:type="dxa" w:w="70"/>
              <w:right w:type="dxa" w:w="110"/>
            </w:tcMar>
          </w:tcPr>
          <w:p>
            <w:pPr>
              <w:spacing w:after="0" w:before="0"/>
            </w:pPr>
            <w:r>
              <w:rPr>
                <w:color w:val="13272F"/>
                <w:sz w:val="17"/>
                <w:szCs w:val="17"/>
              </w:rPr>
              <w:t xml:space="preserve">Millions of text pairs, multi-GPU weeks, ~$10⁴+</w:t>
            </w:r>
          </w:p>
        </w:tc>
        <w:tc>
          <w:tcPr>
            <w:tcW w:type="dxa" w:w="4208"/>
            <w:shd w:fill="FFFFFF" w:val="clear"/>
            <w:tcMar>
              <w:top w:type="dxa" w:w="70"/>
              <w:left w:type="dxa" w:w="110"/>
              <w:bottom w:type="dxa" w:w="70"/>
              <w:right w:type="dxa" w:w="110"/>
            </w:tcMar>
          </w:tcPr>
          <w:p>
            <w:pPr>
              <w:spacing w:after="0" w:before="0"/>
            </w:pPr>
            <w:r>
              <w:rPr>
                <w:color w:val="13272F"/>
                <w:sz w:val="17"/>
                <w:szCs w:val="17"/>
              </w:rPr>
              <w:t xml:space="preserve">Never, for a two-person team. Even large labs rarely do this for embeddings now.</w:t>
            </w:r>
          </w:p>
        </w:tc>
      </w:tr>
      <w:tr>
        <w:trPr>
          <w:tblHeader w:val="false"/>
        </w:trPr>
        <w:tc>
          <w:tcPr>
            <w:tcW w:type="dxa" w:w="1472"/>
            <w:shd w:fill="F7FAFB" w:val="clear"/>
            <w:tcMar>
              <w:top w:type="dxa" w:w="70"/>
              <w:left w:type="dxa" w:w="110"/>
              <w:bottom w:type="dxa" w:w="70"/>
              <w:right w:type="dxa" w:w="110"/>
            </w:tcMar>
          </w:tcPr>
          <w:p>
            <w:pPr>
              <w:spacing w:after="0" w:before="0"/>
            </w:pPr>
            <w:r>
              <w:rPr>
                <w:b/>
                <w:bCs/>
                <w:color w:val="13272F"/>
                <w:sz w:val="17"/>
                <w:szCs w:val="17"/>
              </w:rPr>
              <w:t xml:space="preserve">Fine-tune a pretrained model</w:t>
            </w:r>
          </w:p>
        </w:tc>
        <w:tc>
          <w:tcPr>
            <w:tcW w:type="dxa" w:w="736"/>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Very viable</w:t>
            </w:r>
          </w:p>
        </w:tc>
        <w:tc>
          <w:tcPr>
            <w:tcW w:type="dxa" w:w="2944"/>
            <w:shd w:fill="F7FAFB" w:val="clear"/>
            <w:tcMar>
              <w:top w:type="dxa" w:w="70"/>
              <w:left w:type="dxa" w:w="110"/>
              <w:bottom w:type="dxa" w:w="70"/>
              <w:right w:type="dxa" w:w="110"/>
            </w:tcMar>
          </w:tcPr>
          <w:p>
            <w:pPr>
              <w:spacing w:after="0" w:before="0"/>
            </w:pPr>
            <w:r>
              <w:rPr>
                <w:color w:val="13272F"/>
                <w:sz w:val="17"/>
                <w:szCs w:val="17"/>
              </w:rPr>
              <w:t xml:space="preserve">~1 000–5 000 labelled pairs, &lt;1 hour on a free Colab GPU</w:t>
            </w:r>
          </w:p>
        </w:tc>
        <w:tc>
          <w:tcPr>
            <w:tcW w:type="dxa" w:w="4208"/>
            <w:shd w:fill="F7FAFB" w:val="clear"/>
            <w:tcMar>
              <w:top w:type="dxa" w:w="70"/>
              <w:left w:type="dxa" w:w="110"/>
              <w:bottom w:type="dxa" w:w="70"/>
              <w:right w:type="dxa" w:w="110"/>
            </w:tcMar>
          </w:tcPr>
          <w:p>
            <w:pPr>
              <w:spacing w:after="0" w:before="0"/>
            </w:pPr>
            <w:r>
              <w:rPr>
                <w:b/>
                <w:bCs/>
                <w:color w:val="13272F"/>
                <w:sz w:val="17"/>
                <w:szCs w:val="17"/>
              </w:rPr>
              <w:t xml:space="preserve">This is your path.</w:t>
            </w:r>
            <w:r>
              <w:rPr>
                <w:color w:val="13272F"/>
                <w:sz w:val="17"/>
                <w:szCs w:val="17"/>
              </w:rPr>
              <w:t xml:space="preserve"> Once you have data.</w:t>
            </w:r>
          </w:p>
        </w:tc>
      </w:tr>
      <w:tr>
        <w:trPr>
          <w:tblHeader w:val="false"/>
        </w:trPr>
        <w:tc>
          <w:tcPr>
            <w:tcW w:type="dxa" w:w="1472"/>
            <w:shd w:fill="FFFFFF" w:val="clear"/>
            <w:tcMar>
              <w:top w:type="dxa" w:w="70"/>
              <w:left w:type="dxa" w:w="110"/>
              <w:bottom w:type="dxa" w:w="70"/>
              <w:right w:type="dxa" w:w="110"/>
            </w:tcMar>
          </w:tcPr>
          <w:p>
            <w:pPr>
              <w:spacing w:after="0" w:before="0"/>
            </w:pPr>
            <w:r>
              <w:rPr>
                <w:b/>
                <w:bCs/>
                <w:color w:val="13272F"/>
                <w:sz w:val="17"/>
                <w:szCs w:val="17"/>
              </w:rPr>
              <w:t xml:space="preserve">Use prebuilt as-is</w:t>
            </w:r>
          </w:p>
        </w:tc>
        <w:tc>
          <w:tcPr>
            <w:tcW w:type="dxa" w:w="736"/>
            <w:shd w:fill="FFFFFF" w:val="clear"/>
            <w:tcMar>
              <w:top w:type="dxa" w:w="70"/>
              <w:left w:type="dxa" w:w="110"/>
              <w:bottom w:type="dxa" w:w="70"/>
              <w:right w:type="dxa" w:w="110"/>
            </w:tcMar>
          </w:tcPr>
          <w:p>
            <w:pPr>
              <w:spacing w:after="0" w:before="0"/>
            </w:pPr>
            <w:r>
              <w:rPr>
                <w:color w:val="13272F"/>
                <w:sz w:val="17"/>
                <w:szCs w:val="17"/>
              </w:rPr>
              <w:t xml:space="preserve">✅ Viable today</w:t>
            </w:r>
          </w:p>
        </w:tc>
        <w:tc>
          <w:tcPr>
            <w:tcW w:type="dxa" w:w="2944"/>
            <w:shd w:fill="FFFFFF" w:val="clear"/>
            <w:tcMar>
              <w:top w:type="dxa" w:w="70"/>
              <w:left w:type="dxa" w:w="110"/>
              <w:bottom w:type="dxa" w:w="70"/>
              <w:right w:type="dxa" w:w="110"/>
            </w:tcMar>
          </w:tcPr>
          <w:p>
            <w:pPr>
              <w:spacing w:after="0" w:before="0"/>
            </w:pPr>
            <w:r>
              <w:rPr>
                <w:color w:val="13272F"/>
                <w:sz w:val="17"/>
                <w:szCs w:val="17"/>
              </w:rPr>
              <w:t xml:space="preserve">Zero</w:t>
            </w:r>
          </w:p>
        </w:tc>
        <w:tc>
          <w:tcPr>
            <w:tcW w:type="dxa" w:w="4208"/>
            <w:shd w:fill="FFFFFF" w:val="clear"/>
            <w:tcMar>
              <w:top w:type="dxa" w:w="70"/>
              <w:left w:type="dxa" w:w="110"/>
              <w:bottom w:type="dxa" w:w="70"/>
              <w:right w:type="dxa" w:w="110"/>
            </w:tcMar>
          </w:tcPr>
          <w:p>
            <w:pPr>
              <w:spacing w:after="0" w:before="0"/>
            </w:pPr>
            <w:r>
              <w:rPr>
                <w:b/>
                <w:bCs/>
                <w:color w:val="13272F"/>
                <w:sz w:val="17"/>
                <w:szCs w:val="17"/>
              </w:rPr>
              <w:t xml:space="preserve">Start here.</w:t>
            </w:r>
            <w:r>
              <w:rPr>
                <w:color w:val="13272F"/>
                <w:sz w:val="17"/>
                <w:szCs w:val="17"/>
              </w:rPr>
              <w:t xml:space="preserve"> Ship it, collect data, then fine-tune.</w:t>
            </w:r>
          </w:p>
        </w:tc>
      </w:tr>
    </w:tbl>
    <w:p>
      <w:pPr>
        <w:spacing w:after="160"/>
      </w:pPr>
    </w:p>
    <w:p>
      <w:pPr>
        <w:pStyle w:val="Heading2"/>
        <w:spacing w:after="130" w:before="300"/>
      </w:pPr>
      <w:r>
        <w:rPr>
          <w:rFonts w:ascii="Georgia" w:cs="Georgia" w:eastAsia="Georgia" w:hAnsi="Georgia"/>
          <w:b/>
          <w:bCs/>
          <w:color w:val="1F7A8C"/>
          <w:sz w:val="25"/>
          <w:szCs w:val="25"/>
        </w:rPr>
        <w:t xml:space="preserve">6.3 Why fine-tuning fits your problem specifically</w:t>
      </w:r>
    </w:p>
    <w:p>
      <w:pPr>
        <w:spacing w:after="120" w:before="60" w:line="300"/>
      </w:pPr>
      <w:r>
        <w:rPr>
          <w:color w:val="13272F"/>
          <w:sz w:val="20"/>
          <w:szCs w:val="20"/>
        </w:rPr>
        <w:t xml:space="preserve">General embedding models are trained on web text. Your task is narrow and peculiar: matching </w:t>
      </w:r>
      <w:r>
        <w:rPr>
          <w:b/>
          <w:bCs/>
          <w:color w:val="13272F"/>
          <w:sz w:val="20"/>
          <w:szCs w:val="20"/>
        </w:rPr>
        <w:t xml:space="preserve">colloquial clinical questions</w:t>
      </w:r>
      <w:r>
        <w:rPr>
          <w:color w:val="13272F"/>
          <w:sz w:val="20"/>
          <w:szCs w:val="20"/>
        </w:rPr>
        <w:t xml:space="preserve"> to </w:t>
      </w:r>
      <w:r>
        <w:rPr>
          <w:b/>
          <w:bCs/>
          <w:color w:val="13272F"/>
          <w:sz w:val="20"/>
          <w:szCs w:val="20"/>
        </w:rPr>
        <w:t xml:space="preserve">canonical topic categories</w:t>
      </w:r>
      <w:r>
        <w:rPr>
          <w:color w:val="13272F"/>
          <w:sz w:val="20"/>
          <w:szCs w:val="20"/>
        </w:rPr>
        <w:t xml:space="preserve">.</w:t>
      </w:r>
    </w:p>
    <w:p>
      <w:pPr>
        <w:spacing w:after="120" w:before="60" w:line="300"/>
      </w:pPr>
      <w:r>
        <w:rPr>
          <w:color w:val="13272F"/>
          <w:sz w:val="20"/>
          <w:szCs w:val="20"/>
        </w:rPr>
        <w:t xml:space="preserve">Consider: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"does a rich evening dinner set it off?"      →  meal_relationship</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"has your chest been hurting after supper?"   →  meal_relationship  +  pain_character</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"do you get the burning after you eat?"       →  meal_relationship  +  pain_character</w:t>
      </w:r>
    </w:p>
    <w:p>
      <w:pPr>
        <w:spacing w:after="120" w:before="60" w:line="300"/>
      </w:pPr>
      <w:r>
        <w:rPr>
          <w:color w:val="13272F"/>
          <w:sz w:val="20"/>
          <w:szCs w:val="20"/>
        </w:rPr>
        <w:t xml:space="preserve">A general model gets these roughly right. A model fine-tuned on </w:t>
      </w:r>
      <w:r>
        <w:rPr>
          <w:i/>
          <w:iCs/>
          <w:color w:val="13272F"/>
          <w:sz w:val="20"/>
          <w:szCs w:val="20"/>
        </w:rPr>
        <w:t xml:space="preserve">your</w:t>
      </w:r>
      <w:r>
        <w:rPr>
          <w:color w:val="13272F"/>
          <w:sz w:val="20"/>
          <w:szCs w:val="20"/>
        </w:rPr>
        <w:t xml:space="preserve"> pairs learns that "sets it off", "brings it on", and "triggers it" are all your </w:t>
      </w:r>
      <w:r>
        <w:rPr>
          <w:rFonts w:ascii="Consolas" w:cs="Consolas" w:eastAsia="Consolas" w:hAnsi="Consolas"/>
          <w:color w:val="B3651F"/>
          <w:sz w:val="18"/>
          <w:szCs w:val="18"/>
        </w:rPr>
        <w:t xml:space="preserve">relieving_factors</w:t>
      </w:r>
      <w:r>
        <w:rPr>
          <w:color w:val="13272F"/>
          <w:sz w:val="20"/>
          <w:szCs w:val="20"/>
        </w:rPr>
        <w:t xml:space="preserve"> / trigger construction — vocabulary a general model has no reason to specialise in.</w:t>
      </w:r>
    </w:p>
    <w:p>
      <w:pPr>
        <w:spacing w:after="120" w:before="60" w:line="300"/>
      </w:pPr>
      <w:r>
        <w:rPr>
          <w:color w:val="13272F"/>
          <w:sz w:val="20"/>
          <w:szCs w:val="20"/>
        </w:rPr>
        <w:t xml:space="preserve">Realistic expectation: </w:t>
      </w:r>
      <w:r>
        <w:rPr>
          <w:b/>
          <w:bCs/>
          <w:color w:val="13272F"/>
          <w:sz w:val="20"/>
          <w:szCs w:val="20"/>
        </w:rPr>
        <w:t xml:space="preserve">5–15 percentage points</w:t>
      </w:r>
      <w:r>
        <w:rPr>
          <w:color w:val="13272F"/>
          <w:sz w:val="20"/>
          <w:szCs w:val="20"/>
        </w:rPr>
        <w:t xml:space="preserve"> improvement on your matching task. That is meaningful when your current detector errors all stem from matching failures.</w:t>
      </w:r>
    </w:p>
    <w:p>
      <w:pPr>
        <w:pStyle w:val="Heading2"/>
        <w:spacing w:after="130" w:before="300"/>
      </w:pPr>
      <w:r>
        <w:rPr>
          <w:rFonts w:ascii="Georgia" w:cs="Georgia" w:eastAsia="Georgia" w:hAnsi="Georgia"/>
          <w:b/>
          <w:bCs/>
          <w:color w:val="1F7A8C"/>
          <w:sz w:val="25"/>
          <w:szCs w:val="25"/>
        </w:rPr>
        <w:t xml:space="preserve">6.4 How you would actually do it</w:t>
      </w:r>
    </w:p>
    <w:p>
      <w:pPr>
        <w:spacing w:after="120" w:before="60" w:line="300"/>
      </w:pPr>
      <w:r>
        <w:rPr>
          <w:b/>
          <w:bCs/>
          <w:color w:val="13272F"/>
          <w:sz w:val="20"/>
          <w:szCs w:val="20"/>
        </w:rPr>
        <w:t xml:space="preserve">Step 1 — Collect labelled pairs.</w:t>
      </w:r>
      <w:r>
        <w:rPr>
          <w:color w:val="13272F"/>
          <w:sz w:val="20"/>
          <w:szCs w:val="20"/>
        </w:rPr>
        <w:t xml:space="preserve"> You already have the seed: 523 phrases mapped to 40 topics are 523 positive pairs. Extend with real questions from sessions, labelled in the admin console (a "was this topic match correct?" review queue writes training data as a by-product of normal operation).</w:t>
      </w:r>
    </w:p>
    <w:p>
      <w:pPr>
        <w:spacing w:after="120" w:before="60" w:line="300"/>
      </w:pPr>
      <w:r>
        <w:rPr>
          <w:b/>
          <w:bCs/>
          <w:color w:val="13272F"/>
          <w:sz w:val="20"/>
          <w:szCs w:val="20"/>
        </w:rPr>
        <w:t xml:space="preserve">Step 2 — Build training triplets.</w:t>
      </w:r>
      <w:r>
        <w:rPr>
          <w:color w:val="13272F"/>
          <w:sz w:val="20"/>
          <w:szCs w:val="20"/>
        </w:rPr>
        <w:t xml:space="preserve"> Contrastive learning needs (anchor, positive, negative):</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sentence_transformers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import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SentenceTransformer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InputExample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losses</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torch</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utils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data</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import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DataLoader</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SentenceTransformer</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"all-MiniLM-L6-v2"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start from pretrained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train</w:t>
      </w:r>
      <w:r>
        <w:rPr>
          <w:rFonts w:ascii="Consolas" w:cs="Consolas" w:eastAsia="Consolas" w:hAnsi="Consolas"/>
          <w:color w:val="13272F"/>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InputExample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texts</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"does a rich dinner set it off?"</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"questions about meals, food and eating"</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positive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"questions about family medical history"</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negative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 a few thousand of these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loader</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DataLoader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train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shuffle</w:t>
      </w:r>
      <w:r>
        <w:rPr>
          <w:rFonts w:ascii="Consolas" w:cs="Consolas" w:eastAsia="Consolas" w:hAnsi="Consolas"/>
          <w:color w:val="13272F"/>
          <w:sz w:val="16"/>
          <w:szCs w:val="16"/>
        </w:rPr>
        <w:t xml:space="preserve">=</w:t>
      </w:r>
      <w:r>
        <w:rPr>
          <w:rFonts w:ascii="Consolas" w:cs="Consolas" w:eastAsia="Consolas" w:hAnsi="Consolas"/>
          <w:b/>
          <w:bCs/>
          <w:color w:val="0B5FA5"/>
          <w:sz w:val="16"/>
          <w:szCs w:val="16"/>
        </w:rPr>
        <w:t xml:space="preserve">True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batch_size</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32</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loss</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losses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TripletLoss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or MultipleNegativesRankingLoss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fit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train_objectives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loader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loss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epochs</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warmup_steps</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100</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save</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"vpsim-topic-encoder-v1"</w:t>
      </w: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Step 3 — Evaluate honestly.</w:t>
      </w:r>
      <w:r>
        <w:rPr>
          <w:color w:val="13272F"/>
          <w:sz w:val="20"/>
          <w:szCs w:val="20"/>
        </w:rPr>
        <w:t xml:space="preserve"> Hold out a test set. Compare fine-tuned against baseline on the </w:t>
      </w:r>
      <w:r>
        <w:rPr>
          <w:i/>
          <w:iCs/>
          <w:color w:val="13272F"/>
          <w:sz w:val="20"/>
          <w:szCs w:val="20"/>
        </w:rPr>
        <w:t xml:space="preserve">same</w:t>
      </w:r>
      <w:r>
        <w:rPr>
          <w:color w:val="13272F"/>
          <w:sz w:val="20"/>
          <w:szCs w:val="20"/>
        </w:rPr>
        <w:t xml:space="preserve"> held-out data. Only ship if it wins.</w:t>
      </w:r>
    </w:p>
    <w:p>
      <w:pPr>
        <w:spacing w:after="120" w:before="60" w:line="300"/>
      </w:pPr>
      <w:r>
        <w:rPr>
          <w:b/>
          <w:bCs/>
          <w:color w:val="13272F"/>
          <w:sz w:val="20"/>
          <w:szCs w:val="20"/>
        </w:rPr>
        <w:t xml:space="preserve">Step 4 — Version it.</w:t>
      </w:r>
      <w:r>
        <w:rPr>
          <w:color w:val="13272F"/>
          <w:sz w:val="20"/>
          <w:szCs w:val="20"/>
        </w:rPr>
        <w:t xml:space="preserve"> The model becomes part of </w:t>
      </w:r>
      <w:r>
        <w:rPr>
          <w:rFonts w:ascii="Consolas" w:cs="Consolas" w:eastAsia="Consolas" w:hAnsi="Consolas"/>
          <w:color w:val="B3651F"/>
          <w:sz w:val="18"/>
          <w:szCs w:val="18"/>
        </w:rPr>
        <w:t xml:space="preserve">engine_version</w:t>
      </w:r>
      <w:r>
        <w:rPr>
          <w:color w:val="13272F"/>
          <w:sz w:val="20"/>
          <w:szCs w:val="20"/>
        </w:rPr>
        <w:t xml:space="preserve">. Changing the encoder changes every coverage score, so historical sessions must be replayed or explicitly marked as computed under a different encoder.</w:t>
      </w:r>
    </w:p>
    <w:p>
      <w:pPr>
        <w:pStyle w:val="Heading2"/>
        <w:spacing w:after="130" w:before="300"/>
      </w:pPr>
      <w:r>
        <w:rPr>
          <w:rFonts w:ascii="Georgia" w:cs="Georgia" w:eastAsia="Georgia" w:hAnsi="Georgia"/>
          <w:b/>
          <w:bCs/>
          <w:color w:val="1F7A8C"/>
          <w:sz w:val="25"/>
          <w:szCs w:val="25"/>
        </w:rPr>
        <w:t xml:space="preserve">6.5 Recommendation and sequencing</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Now         →  prebuilt all-MiniLM-L6-v2, hybrid with keywords   (v1 §6)</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~2k pairs   →  fine-tune, evaluate against held-out set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If it wins  →  ship as vpsim-topic-encoder-v1, bump engine_version, replay</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Ongoing     →  admin review queue continuously grows the training set</w:t>
      </w:r>
    </w:p>
    <w:p>
      <w:pPr>
        <w:spacing w:after="120" w:before="60" w:line="300"/>
      </w:pPr>
      <w:r>
        <w:rPr>
          <w:b/>
          <w:bCs/>
          <w:color w:val="13272F"/>
          <w:sz w:val="20"/>
          <w:szCs w:val="20"/>
        </w:rPr>
        <w:t xml:space="preserve">Do not fine-tune before you have data.</w:t>
      </w:r>
      <w:r>
        <w:rPr>
          <w:color w:val="13272F"/>
          <w:sz w:val="20"/>
          <w:szCs w:val="20"/>
        </w:rPr>
        <w:t xml:space="preserve"> A model fine-tuned on 200 hand-made pairs will overfit and perform worse than the baseline, while feeling like progress.</w:t>
      </w:r>
    </w:p>
    <w:p>
      <w:pPr>
        <w:pStyle w:val="Heading2"/>
        <w:spacing w:after="130" w:before="300"/>
      </w:pPr>
      <w:r>
        <w:rPr>
          <w:rFonts w:ascii="Georgia" w:cs="Georgia" w:eastAsia="Georgia" w:hAnsi="Georgia"/>
          <w:b/>
          <w:bCs/>
          <w:color w:val="1F7A8C"/>
          <w:sz w:val="25"/>
          <w:szCs w:val="25"/>
        </w:rPr>
        <w:t xml:space="preserve">6.6 The bigger ML opportunity you have not asked about</w:t>
      </w:r>
    </w:p>
    <w:p>
      <w:pPr>
        <w:spacing w:after="120" w:before="60" w:line="300"/>
      </w:pPr>
      <w:r>
        <w:rPr>
          <w:color w:val="13272F"/>
          <w:sz w:val="20"/>
          <w:szCs w:val="20"/>
        </w:rPr>
        <w:t xml:space="preserve">Once you have thousands of sessions, a genuinely novel research direction opens: </w:t>
      </w:r>
      <w:r>
        <w:rPr>
          <w:b/>
          <w:bCs/>
          <w:color w:val="13272F"/>
          <w:sz w:val="20"/>
          <w:szCs w:val="20"/>
        </w:rPr>
        <w:t xml:space="preserve">predicting bias from partial sessions.</w:t>
      </w:r>
    </w:p>
    <w:p>
      <w:pPr>
        <w:spacing w:after="120" w:before="60" w:line="300"/>
      </w:pPr>
      <w:r>
        <w:rPr>
          <w:color w:val="13272F"/>
          <w:sz w:val="20"/>
          <w:szCs w:val="20"/>
        </w:rPr>
        <w:t xml:space="preserve">If, after four questions, a model can predict that a student is heading toward premature closure, the system could intervene </w:t>
      </w:r>
      <w:r>
        <w:rPr>
          <w:i/>
          <w:iCs/>
          <w:color w:val="13272F"/>
          <w:sz w:val="20"/>
          <w:szCs w:val="20"/>
        </w:rPr>
        <w:t xml:space="preserve">during</w:t>
      </w:r>
      <w:r>
        <w:rPr>
          <w:color w:val="13272F"/>
          <w:sz w:val="20"/>
          <w:szCs w:val="20"/>
        </w:rPr>
        <w:t xml:space="preserve"> the consultation rather than after — a real-time metacognitive prompt.</w:t>
      </w:r>
    </w:p>
    <w:p>
      <w:pPr>
        <w:spacing w:after="120" w:before="60" w:line="300"/>
      </w:pPr>
      <w:r>
        <w:rPr>
          <w:color w:val="13272F"/>
          <w:sz w:val="20"/>
          <w:szCs w:val="20"/>
        </w:rPr>
        <w:t xml:space="preserve">This is a legitimate contribution and a natural second paper. But it needs:</w:t>
      </w:r>
    </w:p>
    <w:p>
      <w:pPr>
        <w:pStyle w:val="ListParagraph"/>
        <w:numPr>
          <w:ilvl w:val="0"/>
          <w:numId w:val="1"/>
        </w:numPr>
        <w:spacing w:after="40" w:before="40" w:line="280"/>
      </w:pPr>
      <w:r>
        <w:rPr>
          <w:color w:val="13272F"/>
          <w:sz w:val="20"/>
          <w:szCs w:val="20"/>
        </w:rPr>
        <w:t xml:space="preserve">10³+ labelled sessions (you have 16)</w:t>
      </w:r>
    </w:p>
    <w:p>
      <w:pPr>
        <w:pStyle w:val="ListParagraph"/>
        <w:numPr>
          <w:ilvl w:val="0"/>
          <w:numId w:val="1"/>
        </w:numPr>
        <w:spacing w:after="40" w:before="40" w:line="280"/>
      </w:pPr>
      <w:r>
        <w:rPr>
          <w:color w:val="13272F"/>
          <w:sz w:val="20"/>
          <w:szCs w:val="20"/>
        </w:rPr>
        <w:t xml:space="preserve">A careful design so the intervention does not simply teach students to game the metric</w:t>
      </w:r>
    </w:p>
    <w:p>
      <w:pPr>
        <w:pStyle w:val="ListParagraph"/>
        <w:numPr>
          <w:ilvl w:val="0"/>
          <w:numId w:val="1"/>
        </w:numPr>
        <w:spacing w:after="40" w:before="40" w:line="280"/>
      </w:pPr>
      <w:r>
        <w:rPr>
          <w:color w:val="13272F"/>
          <w:sz w:val="20"/>
          <w:szCs w:val="20"/>
        </w:rPr>
        <w:t xml:space="preserve">An answer to the interpretability problem, since a predictive model loses the traceability that makes your feedback teachable</w:t>
      </w:r>
    </w:p>
    <w:p>
      <w:pPr>
        <w:spacing w:after="120" w:before="60" w:line="300"/>
      </w:pPr>
      <w:r>
        <w:rPr>
          <w:b/>
          <w:bCs/>
          <w:color w:val="13272F"/>
          <w:sz w:val="20"/>
          <w:szCs w:val="20"/>
        </w:rPr>
        <w:t xml:space="preserve">Note it as a research direction. Do not build it now.</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Frontend and mobile — reversing the v1 decision</w:t>
      </w:r>
    </w:p>
    <w:p>
      <w:pPr>
        <w:pStyle w:val="Heading2"/>
        <w:spacing w:after="130" w:before="300"/>
      </w:pPr>
      <w:r>
        <w:rPr>
          <w:rFonts w:ascii="Georgia" w:cs="Georgia" w:eastAsia="Georgia" w:hAnsi="Georgia"/>
          <w:b/>
          <w:bCs/>
          <w:color w:val="1F7A8C"/>
          <w:sz w:val="25"/>
          <w:szCs w:val="25"/>
        </w:rPr>
        <w:t xml:space="preserve">7.1 Why I am changing the recommendation</w:t>
      </w:r>
    </w:p>
    <w:p>
      <w:pPr>
        <w:spacing w:after="120" w:before="60" w:line="300"/>
      </w:pPr>
      <w:r>
        <w:rPr>
          <w:color w:val="13272F"/>
          <w:sz w:val="20"/>
          <w:szCs w:val="20"/>
        </w:rPr>
        <w:t xml:space="preserve">v1 recommended Jinja + HTMX and rejected React/Next.js. That rested on: </w:t>
      </w:r>
      <w:r>
        <w:rPr>
          <w:i/>
          <w:iCs/>
          <w:color w:val="13272F"/>
          <w:sz w:val="20"/>
          <w:szCs w:val="20"/>
        </w:rPr>
        <w:t xml:space="preserve">no mobile app → no API needed → a SPA is pure overhead.</w:t>
      </w:r>
    </w:p>
    <w:p>
      <w:pPr>
        <w:spacing w:after="120" w:before="60" w:line="300"/>
      </w:pPr>
      <w:r>
        <w:rPr>
          <w:color w:val="13272F"/>
          <w:sz w:val="20"/>
          <w:szCs w:val="20"/>
        </w:rPr>
        <w:t xml:space="preserve">You have now said you want native apps. That breaks the premise:</w:t>
      </w:r>
    </w:p>
    <w:p>
      <w:pPr>
        <w:pStyle w:val="ListParagraph"/>
        <w:numPr>
          <w:ilvl w:val="0"/>
          <w:numId w:val="1"/>
        </w:numPr>
        <w:spacing w:after="40" w:before="40" w:line="280"/>
      </w:pPr>
      <w:r>
        <w:rPr>
          <w:color w:val="13272F"/>
          <w:sz w:val="20"/>
          <w:szCs w:val="20"/>
        </w:rPr>
        <w:t xml:space="preserve">A native app </w:t>
      </w:r>
      <w:r>
        <w:rPr>
          <w:b/>
          <w:bCs/>
          <w:color w:val="13272F"/>
          <w:sz w:val="20"/>
          <w:szCs w:val="20"/>
        </w:rPr>
        <w:t xml:space="preserve">requires</w:t>
      </w:r>
      <w:r>
        <w:rPr>
          <w:color w:val="13272F"/>
          <w:sz w:val="20"/>
          <w:szCs w:val="20"/>
        </w:rPr>
        <w:t xml:space="preserve"> a JSON API</w:t>
      </w:r>
    </w:p>
    <w:p>
      <w:pPr>
        <w:pStyle w:val="ListParagraph"/>
        <w:numPr>
          <w:ilvl w:val="0"/>
          <w:numId w:val="1"/>
        </w:numPr>
        <w:spacing w:after="40" w:before="40" w:line="280"/>
      </w:pPr>
      <w:r>
        <w:rPr>
          <w:color w:val="13272F"/>
          <w:sz w:val="20"/>
          <w:szCs w:val="20"/>
        </w:rPr>
        <w:t xml:space="preserve">Once the API exists, the duplication argument against a JS frontend disappears</w:t>
      </w:r>
    </w:p>
    <w:p>
      <w:pPr>
        <w:pStyle w:val="ListParagraph"/>
        <w:numPr>
          <w:ilvl w:val="0"/>
          <w:numId w:val="1"/>
        </w:numPr>
        <w:spacing w:after="40" w:before="40" w:line="280"/>
      </w:pPr>
      <w:r>
        <w:rPr>
          <w:color w:val="13272F"/>
          <w:sz w:val="20"/>
          <w:szCs w:val="20"/>
        </w:rPr>
        <w:t xml:space="preserve">React and React Native share concepts, patterns, and some code</w:t>
      </w:r>
    </w:p>
    <w:p>
      <w:pPr>
        <w:pStyle w:val="ListParagraph"/>
        <w:numPr>
          <w:ilvl w:val="0"/>
          <w:numId w:val="1"/>
        </w:numPr>
        <w:spacing w:after="40" w:before="40" w:line="280"/>
      </w:pPr>
      <w:r>
        <w:rPr>
          <w:color w:val="13272F"/>
          <w:sz w:val="20"/>
          <w:szCs w:val="20"/>
        </w:rPr>
        <w:t xml:space="preserve">Jinja templates share </w:t>
      </w:r>
      <w:r>
        <w:rPr>
          <w:b/>
          <w:bCs/>
          <w:color w:val="13272F"/>
          <w:sz w:val="20"/>
          <w:szCs w:val="20"/>
        </w:rPr>
        <w:t xml:space="preserve">nothing</w:t>
      </w:r>
      <w:r>
        <w:rPr>
          <w:color w:val="13272F"/>
          <w:sz w:val="20"/>
          <w:szCs w:val="20"/>
        </w:rPr>
        <w:t xml:space="preserve"> with a mobile app — they would be thrown away</w:t>
      </w:r>
    </w:p>
    <w:p>
      <w:pPr>
        <w:spacing w:after="120" w:before="60" w:line="300"/>
      </w:pPr>
      <w:r>
        <w:rPr>
          <w:b/>
          <w:bCs/>
          <w:color w:val="13272F"/>
          <w:sz w:val="20"/>
          <w:szCs w:val="20"/>
        </w:rPr>
        <w:t xml:space="preserve">Under the new requirements, Jinja + HTMX means writing the frontend twice.</w:t>
      </w:r>
    </w:p>
    <w:p>
      <w:pPr>
        <w:pStyle w:val="Heading2"/>
        <w:spacing w:after="130" w:before="300"/>
      </w:pPr>
      <w:r>
        <w:rPr>
          <w:rFonts w:ascii="Georgia" w:cs="Georgia" w:eastAsia="Georgia" w:hAnsi="Georgia"/>
          <w:b/>
          <w:bCs/>
          <w:color w:val="1F7A8C"/>
          <w:sz w:val="25"/>
          <w:szCs w:val="25"/>
        </w:rPr>
        <w:t xml:space="preserve">7.2 Your question: how hard is it to switch later?</w:t>
      </w:r>
    </w:p>
    <w:p>
      <w:pPr>
        <w:spacing w:after="120" w:before="60" w:line="300"/>
      </w:pPr>
      <w:r>
        <w:rPr>
          <w:color w:val="13272F"/>
          <w:sz w:val="20"/>
          <w:szCs w:val="20"/>
        </w:rPr>
        <w:t xml:space="preserve">Honestly: </w:t>
      </w:r>
      <w:r>
        <w:rPr>
          <w:b/>
          <w:bCs/>
          <w:color w:val="13272F"/>
          <w:sz w:val="20"/>
          <w:szCs w:val="20"/>
        </w:rPr>
        <w:t xml:space="preserve">it is close to a full frontend rewrite.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143"/>
        <w:gridCol w:w="3217"/>
      </w:tblGrid>
      <w:tr>
        <w:trPr>
          <w:tblHeader/>
        </w:trPr>
        <w:tc>
          <w:tcPr>
            <w:tcW w:type="dxa" w:w="6143"/>
            <w:shd w:fill="13272F" w:val="clear"/>
            <w:tcMar>
              <w:top w:type="dxa" w:w="70"/>
              <w:left w:type="dxa" w:w="110"/>
              <w:bottom w:type="dxa" w:w="70"/>
              <w:right w:type="dxa" w:w="110"/>
            </w:tcMar>
          </w:tcPr>
          <w:p>
            <w:pPr>
              <w:spacing w:after="0" w:before="0"/>
            </w:pPr>
            <w:r>
              <w:rPr>
                <w:b/>
                <w:bCs/>
                <w:color w:val="FFFFFF"/>
                <w:sz w:val="17"/>
                <w:szCs w:val="17"/>
              </w:rPr>
              <w:t xml:space="preserve">Work item</w:t>
            </w:r>
          </w:p>
        </w:tc>
        <w:tc>
          <w:tcPr>
            <w:tcW w:type="dxa" w:w="3217"/>
            <w:shd w:fill="13272F" w:val="clear"/>
            <w:tcMar>
              <w:top w:type="dxa" w:w="70"/>
              <w:left w:type="dxa" w:w="110"/>
              <w:bottom w:type="dxa" w:w="70"/>
              <w:right w:type="dxa" w:w="110"/>
            </w:tcMar>
          </w:tcPr>
          <w:p>
            <w:pPr>
              <w:spacing w:after="0" w:before="0"/>
            </w:pPr>
            <w:r>
              <w:rPr>
                <w:b/>
                <w:bCs/>
                <w:color w:val="FFFFFF"/>
                <w:sz w:val="17"/>
                <w:szCs w:val="17"/>
              </w:rPr>
              <w:t xml:space="preserve">Effort</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Build the JSON API (currently HTML routes)</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5–7 d</w:t>
            </w:r>
          </w:p>
        </w:tc>
      </w:tr>
      <w:tr>
        <w:trPr>
          <w:tblHeader w:val="false"/>
        </w:trPr>
        <w:tc>
          <w:tcPr>
            <w:tcW w:type="dxa" w:w="6143"/>
            <w:shd w:fill="F7FAFB" w:val="clear"/>
            <w:tcMar>
              <w:top w:type="dxa" w:w="70"/>
              <w:left w:type="dxa" w:w="110"/>
              <w:bottom w:type="dxa" w:w="70"/>
              <w:right w:type="dxa" w:w="110"/>
            </w:tcMar>
          </w:tcPr>
          <w:p>
            <w:pPr>
              <w:spacing w:after="0" w:before="0"/>
            </w:pPr>
            <w:r>
              <w:rPr>
                <w:color w:val="13272F"/>
                <w:sz w:val="17"/>
                <w:szCs w:val="17"/>
              </w:rPr>
              <w:t xml:space="preserve">Rewrite all templates as React components</w:t>
            </w:r>
          </w:p>
        </w:tc>
        <w:tc>
          <w:tcPr>
            <w:tcW w:type="dxa" w:w="3217"/>
            <w:shd w:fill="F7FAFB" w:val="clear"/>
            <w:tcMar>
              <w:top w:type="dxa" w:w="70"/>
              <w:left w:type="dxa" w:w="110"/>
              <w:bottom w:type="dxa" w:w="70"/>
              <w:right w:type="dxa" w:w="110"/>
            </w:tcMar>
          </w:tcPr>
          <w:p>
            <w:pPr>
              <w:spacing w:after="0" w:before="0"/>
            </w:pPr>
            <w:r>
              <w:rPr>
                <w:color w:val="13272F"/>
                <w:sz w:val="17"/>
                <w:szCs w:val="17"/>
              </w:rPr>
              <w:t xml:space="preserve">8–12 d</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Rewrite </w:t>
            </w:r>
            <w:r>
              <w:rPr>
                <w:rFonts w:ascii="Consolas" w:cs="Consolas" w:eastAsia="Consolas" w:hAnsi="Consolas"/>
                <w:color w:val="B3651F"/>
                <w:sz w:val="15"/>
                <w:szCs w:val="15"/>
              </w:rPr>
              <w:t xml:space="preserve">chat.js</w:t>
            </w:r>
            <w:r>
              <w:rPr>
                <w:color w:val="13272F"/>
                <w:sz w:val="17"/>
                <w:szCs w:val="17"/>
              </w:rPr>
              <w:t xml:space="preserve"> interactions</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3–4 d</w:t>
            </w:r>
          </w:p>
        </w:tc>
      </w:tr>
      <w:tr>
        <w:trPr>
          <w:tblHeader w:val="false"/>
        </w:trPr>
        <w:tc>
          <w:tcPr>
            <w:tcW w:type="dxa" w:w="6143"/>
            <w:shd w:fill="F7FAFB" w:val="clear"/>
            <w:tcMar>
              <w:top w:type="dxa" w:w="70"/>
              <w:left w:type="dxa" w:w="110"/>
              <w:bottom w:type="dxa" w:w="70"/>
              <w:right w:type="dxa" w:w="110"/>
            </w:tcMar>
          </w:tcPr>
          <w:p>
            <w:pPr>
              <w:spacing w:after="0" w:before="0"/>
            </w:pPr>
            <w:r>
              <w:rPr>
                <w:color w:val="13272F"/>
                <w:sz w:val="17"/>
                <w:szCs w:val="17"/>
              </w:rPr>
              <w:t xml:space="preserve">Auth flow for token-based API</w:t>
            </w:r>
          </w:p>
        </w:tc>
        <w:tc>
          <w:tcPr>
            <w:tcW w:type="dxa" w:w="3217"/>
            <w:shd w:fill="F7FAFB" w:val="clear"/>
            <w:tcMar>
              <w:top w:type="dxa" w:w="70"/>
              <w:left w:type="dxa" w:w="110"/>
              <w:bottom w:type="dxa" w:w="70"/>
              <w:right w:type="dxa" w:w="110"/>
            </w:tcMar>
          </w:tcPr>
          <w:p>
            <w:pPr>
              <w:spacing w:after="0" w:before="0"/>
            </w:pPr>
            <w:r>
              <w:rPr>
                <w:color w:val="13272F"/>
                <w:sz w:val="17"/>
                <w:szCs w:val="17"/>
              </w:rPr>
              <w:t xml:space="preserve">2–3 d</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Testing, styling parity</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4–5 d</w:t>
            </w:r>
          </w:p>
        </w:tc>
      </w:tr>
      <w:tr>
        <w:trPr>
          <w:tblHeader w:val="false"/>
        </w:trPr>
        <w:tc>
          <w:tcPr>
            <w:tcW w:type="dxa" w:w="6143"/>
            <w:shd w:fill="F7FAFB" w:val="clear"/>
            <w:tcMar>
              <w:top w:type="dxa" w:w="70"/>
              <w:left w:type="dxa" w:w="110"/>
              <w:bottom w:type="dxa" w:w="70"/>
              <w:right w:type="dxa" w:w="110"/>
            </w:tcMar>
          </w:tcPr>
          <w:p>
            <w:pPr>
              <w:spacing w:after="0" w:before="0"/>
            </w:pPr>
            <w:r>
              <w:rPr>
                <w:b/>
                <w:bCs/>
                <w:color w:val="13272F"/>
                <w:sz w:val="17"/>
                <w:szCs w:val="17"/>
              </w:rPr>
              <w:t xml:space="preserve">Total migration</w:t>
            </w:r>
          </w:p>
        </w:tc>
        <w:tc>
          <w:tcPr>
            <w:tcW w:type="dxa" w:w="3217"/>
            <w:shd w:fill="F7FAFB" w:val="clear"/>
            <w:tcMar>
              <w:top w:type="dxa" w:w="70"/>
              <w:left w:type="dxa" w:w="110"/>
              <w:bottom w:type="dxa" w:w="70"/>
              <w:right w:type="dxa" w:w="110"/>
            </w:tcMar>
          </w:tcPr>
          <w:p>
            <w:pPr>
              <w:spacing w:after="0" w:before="0"/>
            </w:pPr>
            <w:r>
              <w:rPr>
                <w:b/>
                <w:bCs/>
                <w:color w:val="13272F"/>
                <w:sz w:val="17"/>
                <w:szCs w:val="17"/>
              </w:rPr>
              <w:t xml:space="preserve">≈ 22–31 developer-days</w:t>
            </w:r>
          </w:p>
        </w:tc>
      </w:tr>
    </w:tbl>
    <w:p>
      <w:pPr>
        <w:spacing w:after="160"/>
      </w:pPr>
    </w:p>
    <w:p>
      <w:pPr>
        <w:spacing w:after="120" w:before="60" w:line="300"/>
      </w:pPr>
      <w:r>
        <w:rPr>
          <w:color w:val="13272F"/>
          <w:sz w:val="20"/>
          <w:szCs w:val="20"/>
        </w:rPr>
        <w:t xml:space="preserve">Versus starting with Next.js: roughly </w:t>
      </w:r>
      <w:r>
        <w:rPr>
          <w:b/>
          <w:bCs/>
          <w:color w:val="13272F"/>
          <w:sz w:val="20"/>
          <w:szCs w:val="20"/>
        </w:rPr>
        <w:t xml:space="preserve">+8–10 days</w:t>
      </w:r>
      <w:r>
        <w:rPr>
          <w:color w:val="13272F"/>
          <w:sz w:val="20"/>
          <w:szCs w:val="20"/>
        </w:rPr>
        <w:t xml:space="preserve"> of extra initial effort compared to Jinja.</w:t>
      </w:r>
    </w:p>
    <w:p>
      <w:pPr>
        <w:spacing w:after="120" w:before="60" w:line="300"/>
      </w:pPr>
      <w:r>
        <w:rPr>
          <w:b/>
          <w:bCs/>
          <w:color w:val="13272F"/>
          <w:sz w:val="20"/>
          <w:szCs w:val="20"/>
        </w:rPr>
        <w:t xml:space="preserve">Building it twice costs about three times more than building it once, correctly, now.</w:t>
      </w:r>
    </w:p>
    <w:p>
      <w:pPr>
        <w:pStyle w:val="Heading2"/>
        <w:spacing w:after="130" w:before="300"/>
      </w:pPr>
      <w:r>
        <w:rPr>
          <w:rFonts w:ascii="Georgia" w:cs="Georgia" w:eastAsia="Georgia" w:hAnsi="Georgia"/>
          <w:b/>
          <w:bCs/>
          <w:color w:val="1F7A8C"/>
          <w:sz w:val="25"/>
          <w:szCs w:val="25"/>
        </w:rPr>
        <w:t xml:space="preserve">7.3 Your other question: how hard is React/Next to maintain?</w:t>
      </w:r>
    </w:p>
    <w:p>
      <w:pPr>
        <w:spacing w:after="120" w:before="60" w:line="300"/>
      </w:pPr>
      <w:r>
        <w:rPr>
          <w:color w:val="13272F"/>
          <w:sz w:val="20"/>
          <w:szCs w:val="20"/>
        </w:rPr>
        <w:t xml:space="preserve">You noted that you have AI assistance, and that changes the calculus — correctly.</w:t>
      </w:r>
    </w:p>
    <w:p>
      <w:pPr>
        <w:spacing w:after="120" w:before="60" w:line="300"/>
      </w:pPr>
      <w:r>
        <w:rPr>
          <w:color w:val="13272F"/>
          <w:sz w:val="20"/>
          <w:szCs w:val="20"/>
        </w:rPr>
        <w:t xml:space="preserve">The historical arguments against a SPA for a small team were: build tooling complexity, boilerplate, dependency churn, and needing frontend specialists. In 2026:</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06"/>
        <w:gridCol w:w="6954"/>
      </w:tblGrid>
      <w:tr>
        <w:trPr>
          <w:tblHeader/>
        </w:trPr>
        <w:tc>
          <w:tcPr>
            <w:tcW w:type="dxa" w:w="2406"/>
            <w:shd w:fill="13272F" w:val="clear"/>
            <w:tcMar>
              <w:top w:type="dxa" w:w="70"/>
              <w:left w:type="dxa" w:w="110"/>
              <w:bottom w:type="dxa" w:w="70"/>
              <w:right w:type="dxa" w:w="110"/>
            </w:tcMar>
          </w:tcPr>
          <w:p>
            <w:pPr>
              <w:spacing w:after="0" w:before="0"/>
            </w:pPr>
            <w:r>
              <w:rPr>
                <w:b/>
                <w:bCs/>
                <w:color w:val="FFFFFF"/>
                <w:sz w:val="17"/>
                <w:szCs w:val="17"/>
              </w:rPr>
              <w:t xml:space="preserve">Old objection</w:t>
            </w:r>
          </w:p>
        </w:tc>
        <w:tc>
          <w:tcPr>
            <w:tcW w:type="dxa" w:w="6954"/>
            <w:shd w:fill="13272F" w:val="clear"/>
            <w:tcMar>
              <w:top w:type="dxa" w:w="70"/>
              <w:left w:type="dxa" w:w="110"/>
              <w:bottom w:type="dxa" w:w="70"/>
              <w:right w:type="dxa" w:w="110"/>
            </w:tcMar>
          </w:tcPr>
          <w:p>
            <w:pPr>
              <w:spacing w:after="0" w:before="0"/>
            </w:pPr>
            <w:r>
              <w:rPr>
                <w:b/>
                <w:bCs/>
                <w:color w:val="FFFFFF"/>
                <w:sz w:val="17"/>
                <w:szCs w:val="17"/>
              </w:rPr>
              <w:t xml:space="preserve">Status</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Complex build setup</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Largely solved — </w:t>
            </w:r>
            <w:r>
              <w:rPr>
                <w:rFonts w:ascii="Consolas" w:cs="Consolas" w:eastAsia="Consolas" w:hAnsi="Consolas"/>
                <w:color w:val="B3651F"/>
                <w:sz w:val="15"/>
                <w:szCs w:val="15"/>
              </w:rPr>
              <w:t xml:space="preserve">create-next-app</w:t>
            </w:r>
            <w:r>
              <w:rPr>
                <w:color w:val="13272F"/>
                <w:sz w:val="17"/>
                <w:szCs w:val="17"/>
              </w:rPr>
              <w:t xml:space="preserve"> and Vercel/Next defaults work</w:t>
            </w:r>
          </w:p>
        </w:tc>
      </w:tr>
      <w:tr>
        <w:trPr>
          <w:tblHeader w:val="false"/>
        </w:trPr>
        <w:tc>
          <w:tcPr>
            <w:tcW w:type="dxa" w:w="2406"/>
            <w:shd w:fill="F7FAFB" w:val="clear"/>
            <w:tcMar>
              <w:top w:type="dxa" w:w="70"/>
              <w:left w:type="dxa" w:w="110"/>
              <w:bottom w:type="dxa" w:w="70"/>
              <w:right w:type="dxa" w:w="110"/>
            </w:tcMar>
          </w:tcPr>
          <w:p>
            <w:pPr>
              <w:spacing w:after="0" w:before="0"/>
            </w:pPr>
            <w:r>
              <w:rPr>
                <w:color w:val="13272F"/>
                <w:sz w:val="17"/>
                <w:szCs w:val="17"/>
              </w:rPr>
              <w:t xml:space="preserve">Lots of boilerplate</w:t>
            </w:r>
          </w:p>
        </w:tc>
        <w:tc>
          <w:tcPr>
            <w:tcW w:type="dxa" w:w="6954"/>
            <w:shd w:fill="F7FAFB" w:val="clear"/>
            <w:tcMar>
              <w:top w:type="dxa" w:w="70"/>
              <w:left w:type="dxa" w:w="110"/>
              <w:bottom w:type="dxa" w:w="70"/>
              <w:right w:type="dxa" w:w="110"/>
            </w:tcMar>
          </w:tcPr>
          <w:p>
            <w:pPr>
              <w:spacing w:after="0" w:before="0"/>
            </w:pPr>
            <w:r>
              <w:rPr>
                <w:color w:val="13272F"/>
                <w:sz w:val="17"/>
                <w:szCs w:val="17"/>
              </w:rPr>
              <w:t xml:space="preserve">This is exactly what AI assistance is best at</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Need a frontend specialist</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Much less true for standard patterns</w:t>
            </w:r>
          </w:p>
        </w:tc>
      </w:tr>
      <w:tr>
        <w:trPr>
          <w:tblHeader w:val="false"/>
        </w:trPr>
        <w:tc>
          <w:tcPr>
            <w:tcW w:type="dxa" w:w="2406"/>
            <w:shd w:fill="F7FAFB" w:val="clear"/>
            <w:tcMar>
              <w:top w:type="dxa" w:w="70"/>
              <w:left w:type="dxa" w:w="110"/>
              <w:bottom w:type="dxa" w:w="70"/>
              <w:right w:type="dxa" w:w="110"/>
            </w:tcMar>
          </w:tcPr>
          <w:p>
            <w:pPr>
              <w:spacing w:after="0" w:before="0"/>
            </w:pPr>
            <w:r>
              <w:rPr>
                <w:color w:val="13272F"/>
                <w:sz w:val="17"/>
                <w:szCs w:val="17"/>
              </w:rPr>
              <w:t xml:space="preserve">Dependency churn</w:t>
            </w:r>
          </w:p>
        </w:tc>
        <w:tc>
          <w:tcPr>
            <w:tcW w:type="dxa" w:w="6954"/>
            <w:shd w:fill="F7FAFB" w:val="clear"/>
            <w:tcMar>
              <w:top w:type="dxa" w:w="70"/>
              <w:left w:type="dxa" w:w="110"/>
              <w:bottom w:type="dxa" w:w="70"/>
              <w:right w:type="dxa" w:w="110"/>
            </w:tcMar>
          </w:tcPr>
          <w:p>
            <w:pPr>
              <w:spacing w:after="0" w:before="0"/>
            </w:pPr>
            <w:r>
              <w:rPr>
                <w:b/>
                <w:bCs/>
                <w:color w:val="13272F"/>
                <w:sz w:val="17"/>
                <w:szCs w:val="17"/>
              </w:rPr>
              <w:t xml:space="preserve">Still real.</w:t>
            </w:r>
            <w:r>
              <w:rPr>
                <w:color w:val="13272F"/>
                <w:sz w:val="17"/>
                <w:szCs w:val="17"/>
              </w:rPr>
              <w:t xml:space="preserve"> Mitigate: minimal dependencies, pin versions, upgrade deliberately</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State management complexity</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Avoidable — server state via TanStack Query, minimal client state</w:t>
            </w:r>
          </w:p>
        </w:tc>
      </w:tr>
    </w:tbl>
    <w:p>
      <w:pPr>
        <w:spacing w:after="160"/>
      </w:pPr>
    </w:p>
    <w:p>
      <w:pPr>
        <w:spacing w:after="120" w:before="60" w:line="300"/>
      </w:pPr>
      <w:r>
        <w:rPr>
          <w:b/>
          <w:bCs/>
          <w:color w:val="13272F"/>
          <w:sz w:val="20"/>
          <w:szCs w:val="20"/>
        </w:rPr>
        <w:t xml:space="preserve">Residual honest risk:</w:t>
      </w:r>
      <w:r>
        <w:rPr>
          <w:color w:val="13272F"/>
          <w:sz w:val="20"/>
          <w:szCs w:val="20"/>
        </w:rPr>
        <w:t xml:space="preserve"> JavaScript ecosystem churn is real and does not go away. Discipline matters — resist adding libraries. A Next.js app with five dependencies is maintainable by two people. One with fifty is not.</w:t>
      </w:r>
    </w:p>
    <w:p>
      <w:pPr>
        <w:pStyle w:val="Heading2"/>
        <w:spacing w:after="130" w:before="300"/>
      </w:pPr>
      <w:r>
        <w:rPr>
          <w:rFonts w:ascii="Georgia" w:cs="Georgia" w:eastAsia="Georgia" w:hAnsi="Georgia"/>
          <w:b/>
          <w:bCs/>
          <w:color w:val="1F7A8C"/>
          <w:sz w:val="25"/>
          <w:szCs w:val="25"/>
        </w:rPr>
        <w:t xml:space="preserve">7.4 Revised recommendation</w:t>
      </w:r>
    </w:p>
    <w:p>
      <w:pPr>
        <w:pStyle w:val="Heading3"/>
        <w:spacing w:after="100" w:before="220"/>
      </w:pPr>
      <w:r>
        <w:rPr>
          <w:rFonts w:ascii="Georgia" w:cs="Georgia" w:eastAsia="Georgia" w:hAnsi="Georgia"/>
          <w:b/>
          <w:bCs/>
          <w:color w:val="13272F"/>
          <w:sz w:val="22"/>
          <w:szCs w:val="22"/>
        </w:rPr>
        <w:t xml:space="preserve">Split the stack by audience.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64"/>
        <w:gridCol w:w="1261"/>
        <w:gridCol w:w="7135"/>
      </w:tblGrid>
      <w:tr>
        <w:trPr>
          <w:tblHeader/>
        </w:trPr>
        <w:tc>
          <w:tcPr>
            <w:tcW w:type="dxa" w:w="964"/>
            <w:shd w:fill="13272F" w:val="clear"/>
            <w:tcMar>
              <w:top w:type="dxa" w:w="70"/>
              <w:left w:type="dxa" w:w="110"/>
              <w:bottom w:type="dxa" w:w="70"/>
              <w:right w:type="dxa" w:w="110"/>
            </w:tcMar>
          </w:tcPr>
          <w:p>
            <w:pPr>
              <w:spacing w:after="0" w:before="0"/>
            </w:pPr>
            <w:r>
              <w:rPr>
                <w:b/>
                <w:bCs/>
                <w:color w:val="FFFFFF"/>
                <w:sz w:val="17"/>
                <w:szCs w:val="17"/>
              </w:rPr>
              <w:t xml:space="preserve">Surface</w:t>
            </w:r>
          </w:p>
        </w:tc>
        <w:tc>
          <w:tcPr>
            <w:tcW w:type="dxa" w:w="1261"/>
            <w:shd w:fill="13272F" w:val="clear"/>
            <w:tcMar>
              <w:top w:type="dxa" w:w="70"/>
              <w:left w:type="dxa" w:w="110"/>
              <w:bottom w:type="dxa" w:w="70"/>
              <w:right w:type="dxa" w:w="110"/>
            </w:tcMar>
          </w:tcPr>
          <w:p>
            <w:pPr>
              <w:spacing w:after="0" w:before="0"/>
            </w:pPr>
            <w:r>
              <w:rPr>
                <w:b/>
                <w:bCs/>
                <w:color w:val="FFFFFF"/>
                <w:sz w:val="17"/>
                <w:szCs w:val="17"/>
              </w:rPr>
              <w:t xml:space="preserve">Technology</w:t>
            </w:r>
          </w:p>
        </w:tc>
        <w:tc>
          <w:tcPr>
            <w:tcW w:type="dxa" w:w="7135"/>
            <w:shd w:fill="13272F" w:val="clear"/>
            <w:tcMar>
              <w:top w:type="dxa" w:w="70"/>
              <w:left w:type="dxa" w:w="110"/>
              <w:bottom w:type="dxa" w:w="70"/>
              <w:right w:type="dxa" w:w="110"/>
            </w:tcMar>
          </w:tcPr>
          <w:p>
            <w:pPr>
              <w:spacing w:after="0" w:before="0"/>
            </w:pPr>
            <w:r>
              <w:rPr>
                <w:b/>
                <w:bCs/>
                <w:color w:val="FFFFFF"/>
                <w:sz w:val="17"/>
                <w:szCs w:val="17"/>
              </w:rPr>
              <w:t xml:space="preserve">Reasoning</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Student web app</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Next.js (React) + TypeScript</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Shares patterns with the future mobile app; needs the API anyway; better interaction model for the consultation UI</w:t>
            </w:r>
          </w:p>
        </w:tc>
      </w:tr>
      <w:tr>
        <w:trPr>
          <w:tblHeader w:val="false"/>
        </w:trPr>
        <w:tc>
          <w:tcPr>
            <w:tcW w:type="dxa" w:w="964"/>
            <w:shd w:fill="F7FAFB" w:val="clear"/>
            <w:tcMar>
              <w:top w:type="dxa" w:w="70"/>
              <w:left w:type="dxa" w:w="110"/>
              <w:bottom w:type="dxa" w:w="70"/>
              <w:right w:type="dxa" w:w="110"/>
            </w:tcMar>
          </w:tcPr>
          <w:p>
            <w:pPr>
              <w:spacing w:after="0" w:before="0"/>
            </w:pPr>
            <w:r>
              <w:rPr>
                <w:b/>
                <w:bCs/>
                <w:color w:val="13272F"/>
                <w:sz w:val="17"/>
                <w:szCs w:val="17"/>
              </w:rPr>
              <w:t xml:space="preserve">Mobile apps</w:t>
            </w:r>
          </w:p>
        </w:tc>
        <w:tc>
          <w:tcPr>
            <w:tcW w:type="dxa" w:w="1261"/>
            <w:shd w:fill="F7FAFB" w:val="clear"/>
            <w:tcMar>
              <w:top w:type="dxa" w:w="70"/>
              <w:left w:type="dxa" w:w="110"/>
              <w:bottom w:type="dxa" w:w="70"/>
              <w:right w:type="dxa" w:w="110"/>
            </w:tcMar>
          </w:tcPr>
          <w:p>
            <w:pPr>
              <w:spacing w:after="0" w:before="0"/>
            </w:pPr>
            <w:r>
              <w:rPr>
                <w:b/>
                <w:bCs/>
                <w:color w:val="13272F"/>
                <w:sz w:val="17"/>
                <w:szCs w:val="17"/>
              </w:rPr>
              <w:t xml:space="preserve">React Native + Expo</w:t>
            </w:r>
          </w:p>
        </w:tc>
        <w:tc>
          <w:tcPr>
            <w:tcW w:type="dxa" w:w="7135"/>
            <w:shd w:fill="F7FAFB" w:val="clear"/>
            <w:tcMar>
              <w:top w:type="dxa" w:w="70"/>
              <w:left w:type="dxa" w:w="110"/>
              <w:bottom w:type="dxa" w:w="70"/>
              <w:right w:type="dxa" w:w="110"/>
            </w:tcMar>
          </w:tcPr>
          <w:p>
            <w:pPr>
              <w:spacing w:after="0" w:before="0"/>
            </w:pPr>
            <w:r>
              <w:rPr>
                <w:color w:val="13272F"/>
                <w:sz w:val="17"/>
                <w:szCs w:val="17"/>
              </w:rPr>
              <w:t xml:space="preserve">Reuses React knowledge, API client, and business logic. Expo makes app-store builds genuinely manageable for a small team. One codebase → iOS + Android</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Admin console</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Jinja + HTMX</w:t>
            </w:r>
            <w:r>
              <w:rPr>
                <w:color w:val="13272F"/>
                <w:sz w:val="17"/>
                <w:szCs w:val="17"/>
              </w:rPr>
              <w:t xml:space="preserve"> </w:t>
            </w:r>
            <w:r>
              <w:rPr>
                <w:i/>
                <w:iCs/>
                <w:color w:val="13272F"/>
                <w:sz w:val="17"/>
                <w:szCs w:val="17"/>
              </w:rPr>
              <w:t xml:space="preserve">(keep it simple)</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Internal, low traffic, form-heavy, no mobile requirement. This is where server rendering genuinely wins — and it means the admin console does </w:t>
            </w:r>
            <w:r>
              <w:rPr>
                <w:b/>
                <w:bCs/>
                <w:color w:val="13272F"/>
                <w:sz w:val="17"/>
                <w:szCs w:val="17"/>
              </w:rPr>
              <w:t xml:space="preserve">not</w:t>
            </w:r>
            <w:r>
              <w:rPr>
                <w:color w:val="13272F"/>
                <w:sz w:val="17"/>
                <w:szCs w:val="17"/>
              </w:rPr>
              <w:t xml:space="preserve"> block the API work</w:t>
            </w:r>
          </w:p>
        </w:tc>
      </w:tr>
      <w:tr>
        <w:trPr>
          <w:tblHeader w:val="false"/>
        </w:trPr>
        <w:tc>
          <w:tcPr>
            <w:tcW w:type="dxa" w:w="964"/>
            <w:shd w:fill="F7FAFB" w:val="clear"/>
            <w:tcMar>
              <w:top w:type="dxa" w:w="70"/>
              <w:left w:type="dxa" w:w="110"/>
              <w:bottom w:type="dxa" w:w="70"/>
              <w:right w:type="dxa" w:w="110"/>
            </w:tcMar>
          </w:tcPr>
          <w:p>
            <w:pPr>
              <w:spacing w:after="0" w:before="0"/>
            </w:pPr>
            <w:r>
              <w:rPr>
                <w:b/>
                <w:bCs/>
                <w:color w:val="13272F"/>
                <w:sz w:val="17"/>
                <w:szCs w:val="17"/>
              </w:rPr>
              <w:t xml:space="preserve">Backend API</w:t>
            </w:r>
          </w:p>
        </w:tc>
        <w:tc>
          <w:tcPr>
            <w:tcW w:type="dxa" w:w="1261"/>
            <w:shd w:fill="F7FAFB" w:val="clear"/>
            <w:tcMar>
              <w:top w:type="dxa" w:w="70"/>
              <w:left w:type="dxa" w:w="110"/>
              <w:bottom w:type="dxa" w:w="70"/>
              <w:right w:type="dxa" w:w="110"/>
            </w:tcMar>
          </w:tcPr>
          <w:p>
            <w:pPr>
              <w:spacing w:after="0" w:before="0"/>
            </w:pPr>
            <w:r>
              <w:rPr>
                <w:b/>
                <w:bCs/>
                <w:color w:val="13272F"/>
                <w:sz w:val="17"/>
                <w:szCs w:val="17"/>
              </w:rPr>
              <w:t xml:space="preserve">Flask (existing) or FastAPI</w:t>
            </w:r>
          </w:p>
        </w:tc>
        <w:tc>
          <w:tcPr>
            <w:tcW w:type="dxa" w:w="7135"/>
            <w:shd w:fill="F7FAFB" w:val="clear"/>
            <w:tcMar>
              <w:top w:type="dxa" w:w="70"/>
              <w:left w:type="dxa" w:w="110"/>
              <w:bottom w:type="dxa" w:w="70"/>
              <w:right w:type="dxa" w:w="110"/>
            </w:tcMar>
          </w:tcPr>
          <w:p>
            <w:pPr>
              <w:spacing w:after="0" w:before="0"/>
            </w:pPr>
            <w:r>
              <w:rPr>
                <w:color w:val="13272F"/>
                <w:sz w:val="17"/>
                <w:szCs w:val="17"/>
              </w:rPr>
              <w:t xml:space="preserve">See §7.5</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Analytics dashboards</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Metabase</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Buy, don't build (§4.9)</w:t>
            </w:r>
          </w:p>
        </w:tc>
      </w:tr>
    </w:tbl>
    <w:p>
      <w:pPr>
        <w:spacing w:after="160"/>
      </w:pPr>
    </w:p>
    <w:p>
      <w:pPr>
        <w:spacing w:after="120" w:before="60" w:line="300"/>
      </w:pPr>
      <w:r>
        <w:rPr>
          <w:color w:val="13272F"/>
          <w:sz w:val="20"/>
          <w:szCs w:val="20"/>
        </w:rPr>
        <w:t xml:space="preserve">This is not a compromise — each surface uses the tool that fits it. The admin console has entirely different constraints from the consumer app, and pretending otherwise costs you.</w:t>
      </w:r>
    </w:p>
    <w:p>
      <w:pPr>
        <w:pStyle w:val="Heading2"/>
        <w:spacing w:after="130" w:before="300"/>
      </w:pPr>
      <w:r>
        <w:rPr>
          <w:rFonts w:ascii="Georgia" w:cs="Georgia" w:eastAsia="Georgia" w:hAnsi="Georgia"/>
          <w:b/>
          <w:bCs/>
          <w:color w:val="1F7A8C"/>
          <w:sz w:val="25"/>
          <w:szCs w:val="25"/>
        </w:rPr>
        <w:t xml:space="preserve">7.5 Flask or FastAPI for the API?</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7"/>
        <w:gridCol w:w="8003"/>
      </w:tblGrid>
      <w:tr>
        <w:trPr>
          <w:tblHeader/>
        </w:trPr>
        <w:tc>
          <w:tcPr>
            <w:tcW w:type="dxa" w:w="1357"/>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8003"/>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Keep Flask</w:t>
            </w:r>
          </w:p>
        </w:tc>
        <w:tc>
          <w:tcPr>
            <w:tcW w:type="dxa" w:w="8003"/>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Recommended.</w:t>
            </w:r>
            <w:r>
              <w:rPr>
                <w:color w:val="13272F"/>
                <w:sz w:val="17"/>
                <w:szCs w:val="17"/>
              </w:rPr>
              <w:t xml:space="preserve"> Your code works, your team knows it, and Flask serves JSON perfectly well. Add </w:t>
            </w:r>
            <w:r>
              <w:rPr>
                <w:rFonts w:ascii="Consolas" w:cs="Consolas" w:eastAsia="Consolas" w:hAnsi="Consolas"/>
                <w:color w:val="B3651F"/>
                <w:sz w:val="15"/>
                <w:szCs w:val="15"/>
              </w:rPr>
              <w:t xml:space="preserve">flask-pydantic</w:t>
            </w:r>
            <w:r>
              <w:rPr>
                <w:color w:val="13272F"/>
                <w:sz w:val="17"/>
                <w:szCs w:val="17"/>
              </w:rPr>
              <w:t xml:space="preserve"> or </w:t>
            </w:r>
            <w:r>
              <w:rPr>
                <w:rFonts w:ascii="Consolas" w:cs="Consolas" w:eastAsia="Consolas" w:hAnsi="Consolas"/>
                <w:color w:val="B3651F"/>
                <w:sz w:val="15"/>
                <w:szCs w:val="15"/>
              </w:rPr>
              <w:t xml:space="preserve">apiflask</w:t>
            </w:r>
            <w:r>
              <w:rPr>
                <w:color w:val="13272F"/>
                <w:sz w:val="17"/>
                <w:szCs w:val="17"/>
              </w:rPr>
              <w:t xml:space="preserve"> for typed request/response schemas and automatic OpenAPI docs. Migration cost: near zero.</w:t>
            </w:r>
          </w:p>
        </w:tc>
      </w:tr>
      <w:tr>
        <w:trPr>
          <w:tblHeader w:val="false"/>
        </w:trPr>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Migrate to FastAPI</w:t>
            </w:r>
          </w:p>
        </w:tc>
        <w:tc>
          <w:tcPr>
            <w:tcW w:type="dxa" w:w="8003"/>
            <w:shd w:fill="F7FAFB" w:val="clear"/>
            <w:tcMar>
              <w:top w:type="dxa" w:w="70"/>
              <w:left w:type="dxa" w:w="110"/>
              <w:bottom w:type="dxa" w:w="70"/>
              <w:right w:type="dxa" w:w="110"/>
            </w:tcMar>
          </w:tcPr>
          <w:p>
            <w:pPr>
              <w:spacing w:after="0" w:before="0"/>
            </w:pPr>
            <w:r>
              <w:rPr>
                <w:color w:val="13272F"/>
                <w:sz w:val="17"/>
                <w:szCs w:val="17"/>
              </w:rPr>
              <w:t xml:space="preserve">⚠️ Better async support (useful for concurrent LLM calls), automatic OpenAPI, native Pydantic. But it is a rewrite of </w:t>
            </w:r>
            <w:r>
              <w:rPr>
                <w:rFonts w:ascii="Consolas" w:cs="Consolas" w:eastAsia="Consolas" w:hAnsi="Consolas"/>
                <w:color w:val="B3651F"/>
                <w:sz w:val="15"/>
                <w:szCs w:val="15"/>
              </w:rPr>
              <w:t xml:space="preserve">app.py</w:t>
            </w:r>
            <w:r>
              <w:rPr>
                <w:color w:val="13272F"/>
                <w:sz w:val="17"/>
                <w:szCs w:val="17"/>
              </w:rPr>
              <w:t xml:space="preserve"> for benefits you can mostly get by adding a library to Flask.</w:t>
            </w:r>
          </w:p>
        </w:tc>
      </w:tr>
    </w:tbl>
    <w:p>
      <w:pPr>
        <w:spacing w:after="160"/>
      </w:pPr>
    </w:p>
    <w:p>
      <w:pPr>
        <w:spacing w:after="120" w:before="60" w:line="300"/>
      </w:pPr>
      <w:r>
        <w:rPr>
          <w:b/>
          <w:bCs/>
          <w:color w:val="13272F"/>
          <w:sz w:val="20"/>
          <w:szCs w:val="20"/>
        </w:rPr>
        <w:t xml:space="preserve">Recommendation: stay on Flask, add typed schemas.</w:t>
      </w:r>
      <w:r>
        <w:rPr>
          <w:color w:val="13272F"/>
          <w:sz w:val="20"/>
          <w:szCs w:val="20"/>
        </w:rPr>
        <w:t xml:space="preserve"> Revisit FastAPI only if async LLM concurrency becomes a measured bottleneck. Do not rewrite a working backend while simultaneously rewriting the frontend and adding a database — that is three destabilising changes at once.</w:t>
      </w:r>
    </w:p>
    <w:p>
      <w:pPr>
        <w:pStyle w:val="Heading2"/>
        <w:spacing w:after="130" w:before="300"/>
      </w:pPr>
      <w:r>
        <w:rPr>
          <w:rFonts w:ascii="Georgia" w:cs="Georgia" w:eastAsia="Georgia" w:hAnsi="Georgia"/>
          <w:b/>
          <w:bCs/>
          <w:color w:val="1F7A8C"/>
          <w:sz w:val="25"/>
          <w:szCs w:val="25"/>
        </w:rPr>
        <w:t xml:space="preserve">7.6 Mobile-specific considerations</w:t>
      </w:r>
    </w:p>
    <w:p>
      <w:pPr>
        <w:spacing w:after="120" w:before="60" w:line="300"/>
      </w:pPr>
      <w:r>
        <w:rPr>
          <w:color w:val="13272F"/>
          <w:sz w:val="20"/>
          <w:szCs w:val="20"/>
        </w:rPr>
        <w:t xml:space="preserve">Things that only appear once you target app stores: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7"/>
        <w:gridCol w:w="7993"/>
      </w:tblGrid>
      <w:tr>
        <w:trPr>
          <w:tblHeader/>
        </w:trPr>
        <w:tc>
          <w:tcPr>
            <w:tcW w:type="dxa" w:w="1367"/>
            <w:shd w:fill="13272F" w:val="clear"/>
            <w:tcMar>
              <w:top w:type="dxa" w:w="70"/>
              <w:left w:type="dxa" w:w="110"/>
              <w:bottom w:type="dxa" w:w="70"/>
              <w:right w:type="dxa" w:w="110"/>
            </w:tcMar>
          </w:tcPr>
          <w:p>
            <w:pPr>
              <w:spacing w:after="0" w:before="0"/>
            </w:pPr>
            <w:r>
              <w:rPr>
                <w:b/>
                <w:bCs/>
                <w:color w:val="FFFFFF"/>
                <w:sz w:val="17"/>
                <w:szCs w:val="17"/>
              </w:rPr>
              <w:t xml:space="preserve">Concern</w:t>
            </w:r>
          </w:p>
        </w:tc>
        <w:tc>
          <w:tcPr>
            <w:tcW w:type="dxa" w:w="7993"/>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Apple in-app purchase</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Apple requires IAP for digital subscriptions and takes 15–30 %. You cannot link out to a cheaper web checkout inside the app (rules vary by jurisdiction and are shifting — check current guidance). </w:t>
            </w:r>
            <w:r>
              <w:rPr>
                <w:b/>
                <w:bCs/>
                <w:color w:val="13272F"/>
                <w:sz w:val="17"/>
                <w:szCs w:val="17"/>
              </w:rPr>
              <w:t xml:space="preserve">Model this into pricing.</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Sign in with Apple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Mandatory if you offer any other social login (§3.3)</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Review latency</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Each release waits on review (typically 1–3 days). Plan releases; do not promise same-day fixes.</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Offline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Consultations need the LLM, so offline play is not possible. But </w:t>
            </w:r>
            <w:r>
              <w:rPr>
                <w:i/>
                <w:iCs/>
                <w:color w:val="13272F"/>
                <w:sz w:val="17"/>
                <w:szCs w:val="17"/>
              </w:rPr>
              <w:t xml:space="preserve">reviewing past feedback</w:t>
            </w:r>
            <w:r>
              <w:rPr>
                <w:color w:val="13272F"/>
                <w:sz w:val="17"/>
                <w:szCs w:val="17"/>
              </w:rPr>
              <w:t xml:space="preserve"> offline is valuable and easy — cache it.</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Push notifications</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The main retention lever for a consumer learning app ("your streak is at risk"). Use sparingly; medical professionals will uninstall over noise.</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App size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Do </w:t>
            </w:r>
            <w:r>
              <w:rPr>
                <w:b/>
                <w:bCs/>
                <w:color w:val="13272F"/>
                <w:sz w:val="17"/>
                <w:szCs w:val="17"/>
              </w:rPr>
              <w:t xml:space="preserve">not</w:t>
            </w:r>
            <w:r>
              <w:rPr>
                <w:color w:val="13272F"/>
                <w:sz w:val="17"/>
                <w:szCs w:val="17"/>
              </w:rPr>
              <w:t xml:space="preserve"> bundle the embedding model in the app. It runs server-side.</w:t>
            </w:r>
          </w:p>
        </w:tc>
      </w:tr>
    </w:tbl>
    <w:p>
      <w:pPr>
        <w:spacing w:after="160"/>
      </w:pPr>
    </w:p>
    <w:p>
      <w:pPr>
        <w:pStyle w:val="Heading2"/>
        <w:spacing w:after="130" w:before="300"/>
      </w:pPr>
      <w:r>
        <w:rPr>
          <w:rFonts w:ascii="Georgia" w:cs="Georgia" w:eastAsia="Georgia" w:hAnsi="Georgia"/>
          <w:b/>
          <w:bCs/>
          <w:color w:val="1F7A8C"/>
          <w:sz w:val="25"/>
          <w:szCs w:val="25"/>
        </w:rPr>
        <w:t xml:space="preserve">7.7 Recommended build order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Phase A   Backend API (Flask + typed schemas)          ← needed by everything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Phase B   Next.js student web app</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Phase C   Admin console (Jinja + HTMX, in parallel — different developer)</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Phase D   React Native app, reusing the API client</w:t>
      </w:r>
    </w:p>
    <w:p>
      <w:pPr>
        <w:spacing w:after="120" w:before="60" w:line="300"/>
      </w:pPr>
      <w:r>
        <w:rPr>
          <w:color w:val="13272F"/>
          <w:sz w:val="20"/>
          <w:szCs w:val="20"/>
        </w:rPr>
        <w:t xml:space="preserve">Web first is right. It validates the product, is faster to iterate, needs no review cycle, and is where your first users will come from anyway.</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Infrastructure, cloud, and cost</w:t>
      </w:r>
    </w:p>
    <w:p>
      <w:pPr>
        <w:pStyle w:val="Heading2"/>
        <w:spacing w:after="130" w:before="300"/>
      </w:pPr>
      <w:r>
        <w:rPr>
          <w:rFonts w:ascii="Georgia" w:cs="Georgia" w:eastAsia="Georgia" w:hAnsi="Georgia"/>
          <w:b/>
          <w:bCs/>
          <w:color w:val="1F7A8C"/>
          <w:sz w:val="25"/>
          <w:szCs w:val="25"/>
        </w:rPr>
        <w:t xml:space="preserve">8.1 Your question: AWS, GCP, or Azure?</w:t>
      </w:r>
    </w:p>
    <w:p>
      <w:pPr>
        <w:spacing w:after="120" w:before="60" w:line="300"/>
      </w:pPr>
      <w:r>
        <w:rPr>
          <w:b/>
          <w:bCs/>
          <w:color w:val="13272F"/>
          <w:sz w:val="20"/>
          <w:szCs w:val="20"/>
        </w:rPr>
        <w:t xml:space="preserve">Direct answer: none of them, not yet.</w:t>
      </w:r>
    </w:p>
    <w:p>
      <w:pPr>
        <w:spacing w:after="120" w:before="60" w:line="300"/>
      </w:pPr>
      <w:r>
        <w:rPr>
          <w:color w:val="13272F"/>
          <w:sz w:val="20"/>
          <w:szCs w:val="20"/>
        </w:rPr>
        <w:t xml:space="preserve">This is the most common way early products waste money and time. AWS/GCP/Azure are infrastructure </w:t>
      </w:r>
      <w:r>
        <w:rPr>
          <w:i/>
          <w:iCs/>
          <w:color w:val="13272F"/>
          <w:sz w:val="20"/>
          <w:szCs w:val="20"/>
        </w:rPr>
        <w:t xml:space="preserve">construction kits</w:t>
      </w:r>
      <w:r>
        <w:rPr>
          <w:color w:val="13272F"/>
          <w:sz w:val="20"/>
          <w:szCs w:val="20"/>
        </w:rPr>
        <w:t xml:space="preserve">. You do not need a construction kit; you need a place to run one container and one database.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96"/>
        <w:gridCol w:w="1712"/>
        <w:gridCol w:w="5752"/>
      </w:tblGrid>
      <w:tr>
        <w:trPr>
          <w:tblHeader/>
        </w:trPr>
        <w:tc>
          <w:tcPr>
            <w:tcW w:type="dxa" w:w="1896"/>
            <w:shd w:fill="13272F" w:val="clear"/>
            <w:tcMar>
              <w:top w:type="dxa" w:w="70"/>
              <w:left w:type="dxa" w:w="110"/>
              <w:bottom w:type="dxa" w:w="70"/>
              <w:right w:type="dxa" w:w="110"/>
            </w:tcMar>
          </w:tcPr>
          <w:p>
            <w:pPr>
              <w:spacing w:after="0" w:before="0"/>
            </w:pPr>
            <w:r>
              <w:rPr>
                <w:b/>
                <w:bCs/>
                <w:color w:val="FFFFFF"/>
                <w:sz w:val="17"/>
                <w:szCs w:val="17"/>
              </w:rPr>
              <w:t xml:space="preserve">Stage</w:t>
            </w:r>
          </w:p>
        </w:tc>
        <w:tc>
          <w:tcPr>
            <w:tcW w:type="dxa" w:w="1712"/>
            <w:shd w:fill="13272F" w:val="clear"/>
            <w:tcMar>
              <w:top w:type="dxa" w:w="70"/>
              <w:left w:type="dxa" w:w="110"/>
              <w:bottom w:type="dxa" w:w="70"/>
              <w:right w:type="dxa" w:w="110"/>
            </w:tcMar>
          </w:tcPr>
          <w:p>
            <w:pPr>
              <w:spacing w:after="0" w:before="0"/>
            </w:pPr>
            <w:r>
              <w:rPr>
                <w:b/>
                <w:bCs/>
                <w:color w:val="FFFFFF"/>
                <w:sz w:val="17"/>
                <w:szCs w:val="17"/>
              </w:rPr>
              <w:t xml:space="preserve">Platform</w:t>
            </w:r>
          </w:p>
        </w:tc>
        <w:tc>
          <w:tcPr>
            <w:tcW w:type="dxa" w:w="5752"/>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1896"/>
            <w:shd w:fill="FFFFFF" w:val="clear"/>
            <w:tcMar>
              <w:top w:type="dxa" w:w="70"/>
              <w:left w:type="dxa" w:w="110"/>
              <w:bottom w:type="dxa" w:w="70"/>
              <w:right w:type="dxa" w:w="110"/>
            </w:tcMar>
          </w:tcPr>
          <w:p>
            <w:pPr>
              <w:spacing w:after="0" w:before="0"/>
            </w:pPr>
            <w:r>
              <w:rPr>
                <w:b/>
                <w:bCs/>
                <w:color w:val="13272F"/>
                <w:sz w:val="17"/>
                <w:szCs w:val="17"/>
              </w:rPr>
              <w:t xml:space="preserve">Now → ~10 000 users</w:t>
            </w:r>
          </w:p>
        </w:tc>
        <w:tc>
          <w:tcPr>
            <w:tcW w:type="dxa" w:w="1712"/>
            <w:shd w:fill="FFFFFF" w:val="clear"/>
            <w:tcMar>
              <w:top w:type="dxa" w:w="70"/>
              <w:left w:type="dxa" w:w="110"/>
              <w:bottom w:type="dxa" w:w="70"/>
              <w:right w:type="dxa" w:w="110"/>
            </w:tcMar>
          </w:tcPr>
          <w:p>
            <w:pPr>
              <w:spacing w:after="0" w:before="0"/>
            </w:pPr>
            <w:r>
              <w:rPr>
                <w:b/>
                <w:bCs/>
                <w:color w:val="13272F"/>
                <w:sz w:val="17"/>
                <w:szCs w:val="17"/>
              </w:rPr>
              <w:t xml:space="preserve">Render or Railway + Supabase</w:t>
            </w:r>
          </w:p>
        </w:tc>
        <w:tc>
          <w:tcPr>
            <w:tcW w:type="dxa" w:w="5752"/>
            <w:shd w:fill="FFFFFF" w:val="clear"/>
            <w:tcMar>
              <w:top w:type="dxa" w:w="70"/>
              <w:left w:type="dxa" w:w="110"/>
              <w:bottom w:type="dxa" w:w="70"/>
              <w:right w:type="dxa" w:w="110"/>
            </w:tcMar>
          </w:tcPr>
          <w:p>
            <w:pPr>
              <w:spacing w:after="0" w:before="0"/>
            </w:pPr>
            <w:r>
              <w:rPr>
                <w:color w:val="13272F"/>
                <w:sz w:val="17"/>
                <w:szCs w:val="17"/>
              </w:rPr>
              <w:t xml:space="preserve">Deploy from a Dockerfile in minutes. No VPC, no IAM, no load balancer config.</w:t>
            </w:r>
          </w:p>
        </w:tc>
      </w:tr>
      <w:tr>
        <w:trPr>
          <w:tblHeader w:val="false"/>
        </w:trPr>
        <w:tc>
          <w:tcPr>
            <w:tcW w:type="dxa" w:w="1896"/>
            <w:shd w:fill="F7FAFB" w:val="clear"/>
            <w:tcMar>
              <w:top w:type="dxa" w:w="70"/>
              <w:left w:type="dxa" w:w="110"/>
              <w:bottom w:type="dxa" w:w="70"/>
              <w:right w:type="dxa" w:w="110"/>
            </w:tcMar>
          </w:tcPr>
          <w:p>
            <w:pPr>
              <w:spacing w:after="0" w:before="0"/>
            </w:pPr>
            <w:r>
              <w:rPr>
                <w:b/>
                <w:bCs/>
                <w:color w:val="13272F"/>
                <w:sz w:val="17"/>
                <w:szCs w:val="17"/>
              </w:rPr>
              <w:t xml:space="preserve">~10 000 → 100 000</w:t>
            </w:r>
          </w:p>
        </w:tc>
        <w:tc>
          <w:tcPr>
            <w:tcW w:type="dxa" w:w="1712"/>
            <w:shd w:fill="F7FAFB" w:val="clear"/>
            <w:tcMar>
              <w:top w:type="dxa" w:w="70"/>
              <w:left w:type="dxa" w:w="110"/>
              <w:bottom w:type="dxa" w:w="70"/>
              <w:right w:type="dxa" w:w="110"/>
            </w:tcMar>
          </w:tcPr>
          <w:p>
            <w:pPr>
              <w:spacing w:after="0" w:before="0"/>
            </w:pPr>
            <w:r>
              <w:rPr>
                <w:color w:val="13272F"/>
                <w:sz w:val="17"/>
                <w:szCs w:val="17"/>
              </w:rPr>
              <w:t xml:space="preserve">Same, scaled up</w:t>
            </w:r>
          </w:p>
        </w:tc>
        <w:tc>
          <w:tcPr>
            <w:tcW w:type="dxa" w:w="5752"/>
            <w:shd w:fill="F7FAFB" w:val="clear"/>
            <w:tcMar>
              <w:top w:type="dxa" w:w="70"/>
              <w:left w:type="dxa" w:w="110"/>
              <w:bottom w:type="dxa" w:w="70"/>
              <w:right w:type="dxa" w:w="110"/>
            </w:tcMar>
          </w:tcPr>
          <w:p>
            <w:pPr>
              <w:spacing w:after="0" w:before="0"/>
            </w:pPr>
            <w:r>
              <w:rPr>
                <w:color w:val="13272F"/>
                <w:sz w:val="17"/>
                <w:szCs w:val="17"/>
              </w:rPr>
              <w:t xml:space="preserve">Add instances, add a read replica. Still no cloud-provider complexity.</w:t>
            </w:r>
          </w:p>
        </w:tc>
      </w:tr>
      <w:tr>
        <w:trPr>
          <w:tblHeader w:val="false"/>
        </w:trPr>
        <w:tc>
          <w:tcPr>
            <w:tcW w:type="dxa" w:w="1896"/>
            <w:shd w:fill="FFFFFF" w:val="clear"/>
            <w:tcMar>
              <w:top w:type="dxa" w:w="70"/>
              <w:left w:type="dxa" w:w="110"/>
              <w:bottom w:type="dxa" w:w="70"/>
              <w:right w:type="dxa" w:w="110"/>
            </w:tcMar>
          </w:tcPr>
          <w:p>
            <w:pPr>
              <w:spacing w:after="0" w:before="0"/>
            </w:pPr>
            <w:r>
              <w:rPr>
                <w:b/>
                <w:bCs/>
                <w:color w:val="13272F"/>
                <w:sz w:val="17"/>
                <w:szCs w:val="17"/>
              </w:rPr>
              <w:t xml:space="preserve">Beyond that, or a specific need</w:t>
            </w:r>
          </w:p>
        </w:tc>
        <w:tc>
          <w:tcPr>
            <w:tcW w:type="dxa" w:w="1712"/>
            <w:shd w:fill="FFFFFF" w:val="clear"/>
            <w:tcMar>
              <w:top w:type="dxa" w:w="70"/>
              <w:left w:type="dxa" w:w="110"/>
              <w:bottom w:type="dxa" w:w="70"/>
              <w:right w:type="dxa" w:w="110"/>
            </w:tcMar>
          </w:tcPr>
          <w:p>
            <w:pPr>
              <w:spacing w:after="0" w:before="0"/>
            </w:pPr>
            <w:r>
              <w:rPr>
                <w:color w:val="13272F"/>
                <w:sz w:val="17"/>
                <w:szCs w:val="17"/>
              </w:rPr>
              <w:t xml:space="preserve">AWS / GCP</w:t>
            </w:r>
          </w:p>
        </w:tc>
        <w:tc>
          <w:tcPr>
            <w:tcW w:type="dxa" w:w="5752"/>
            <w:shd w:fill="FFFFFF" w:val="clear"/>
            <w:tcMar>
              <w:top w:type="dxa" w:w="70"/>
              <w:left w:type="dxa" w:w="110"/>
              <w:bottom w:type="dxa" w:w="70"/>
              <w:right w:type="dxa" w:w="110"/>
            </w:tcMar>
          </w:tcPr>
          <w:p>
            <w:pPr>
              <w:spacing w:after="0" w:before="0"/>
            </w:pPr>
            <w:r>
              <w:rPr>
                <w:color w:val="13272F"/>
                <w:sz w:val="17"/>
                <w:szCs w:val="17"/>
              </w:rPr>
              <w:t xml:space="preserve">Move when you have a concrete reason: cost crossover, a service only they offer, or compliance</w:t>
            </w:r>
          </w:p>
        </w:tc>
      </w:tr>
    </w:tbl>
    <w:p>
      <w:pPr>
        <w:spacing w:after="160"/>
      </w:pPr>
    </w:p>
    <w:p>
      <w:pPr>
        <w:spacing w:after="120" w:before="60" w:line="300"/>
      </w:pPr>
      <w:r>
        <w:rPr>
          <w:b/>
          <w:bCs/>
          <w:color w:val="13272F"/>
          <w:sz w:val="20"/>
          <w:szCs w:val="20"/>
        </w:rPr>
        <w:t xml:space="preserve">The signals that mean "now move to a hyperscaler":</w:t>
      </w:r>
      <w:r>
        <w:rPr>
          <w:color w:val="13272F"/>
          <w:sz w:val="20"/>
          <w:szCs w:val="20"/>
        </w:rPr>
        <w:t xml:space="preserve"> your PaaS bill exceeds roughly $500/month, or you need something structural the PaaS cannot do (VPC peering, private networking, GPU inference, strict data residency).</w:t>
      </w:r>
    </w:p>
    <w:p>
      <w:pPr>
        <w:pStyle w:val="Heading3"/>
        <w:spacing w:after="100" w:before="220"/>
      </w:pPr>
      <w:r>
        <w:rPr>
          <w:rFonts w:ascii="Georgia" w:cs="Georgia" w:eastAsia="Georgia" w:hAnsi="Georgia"/>
          <w:b/>
          <w:bCs/>
          <w:color w:val="13272F"/>
          <w:sz w:val="22"/>
          <w:szCs w:val="22"/>
        </w:rPr>
        <w:t xml:space="preserve">If you must choose one eventually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703"/>
        <w:gridCol w:w="4642"/>
        <w:gridCol w:w="2141"/>
        <w:gridCol w:w="1874"/>
      </w:tblGrid>
      <w:tr>
        <w:trPr>
          <w:tblHeader/>
        </w:trPr>
        <w:tc>
          <w:tcPr>
            <w:tcW w:type="dxa" w:w="703"/>
            <w:shd w:fill="13272F" w:val="clear"/>
            <w:tcMar>
              <w:top w:type="dxa" w:w="70"/>
              <w:left w:type="dxa" w:w="110"/>
              <w:bottom w:type="dxa" w:w="70"/>
              <w:right w:type="dxa" w:w="110"/>
            </w:tcMar>
          </w:tcPr>
          <w:p>
            <w:pPr>
              <w:spacing w:after="0" w:before="0"/>
            </w:pPr>
            <w:r>
              <w:rPr>
                <w:b/>
                <w:bCs/>
                <w:color w:val="FFFFFF"/>
                <w:sz w:val="17"/>
                <w:szCs w:val="17"/>
              </w:rPr>
              <w:t xml:space="preserve">Provider</w:t>
            </w:r>
          </w:p>
        </w:tc>
        <w:tc>
          <w:tcPr>
            <w:tcW w:type="dxa" w:w="4642"/>
            <w:shd w:fill="13272F" w:val="clear"/>
            <w:tcMar>
              <w:top w:type="dxa" w:w="70"/>
              <w:left w:type="dxa" w:w="110"/>
              <w:bottom w:type="dxa" w:w="70"/>
              <w:right w:type="dxa" w:w="110"/>
            </w:tcMar>
          </w:tcPr>
          <w:p>
            <w:pPr>
              <w:spacing w:after="0" w:before="0"/>
            </w:pPr>
            <w:r>
              <w:rPr>
                <w:b/>
                <w:bCs/>
                <w:color w:val="FFFFFF"/>
                <w:sz w:val="17"/>
                <w:szCs w:val="17"/>
              </w:rPr>
              <w:t xml:space="preserve">Strengths</w:t>
            </w:r>
          </w:p>
        </w:tc>
        <w:tc>
          <w:tcPr>
            <w:tcW w:type="dxa" w:w="2141"/>
            <w:shd w:fill="13272F" w:val="clear"/>
            <w:tcMar>
              <w:top w:type="dxa" w:w="70"/>
              <w:left w:type="dxa" w:w="110"/>
              <w:bottom w:type="dxa" w:w="70"/>
              <w:right w:type="dxa" w:w="110"/>
            </w:tcMar>
          </w:tcPr>
          <w:p>
            <w:pPr>
              <w:spacing w:after="0" w:before="0"/>
            </w:pPr>
            <w:r>
              <w:rPr>
                <w:b/>
                <w:bCs/>
                <w:color w:val="FFFFFF"/>
                <w:sz w:val="17"/>
                <w:szCs w:val="17"/>
              </w:rPr>
              <w:t xml:space="preserve">Weaknesses</w:t>
            </w:r>
          </w:p>
        </w:tc>
        <w:tc>
          <w:tcPr>
            <w:tcW w:type="dxa" w:w="1874"/>
            <w:shd w:fill="13272F" w:val="clear"/>
            <w:tcMar>
              <w:top w:type="dxa" w:w="70"/>
              <w:left w:type="dxa" w:w="110"/>
              <w:bottom w:type="dxa" w:w="70"/>
              <w:right w:type="dxa" w:w="110"/>
            </w:tcMar>
          </w:tcPr>
          <w:p>
            <w:pPr>
              <w:spacing w:after="0" w:before="0"/>
            </w:pPr>
            <w:r>
              <w:rPr>
                <w:b/>
                <w:bCs/>
                <w:color w:val="FFFFFF"/>
                <w:sz w:val="17"/>
                <w:szCs w:val="17"/>
              </w:rPr>
              <w:t xml:space="preserve">Startup credits</w:t>
            </w:r>
          </w:p>
        </w:tc>
      </w:tr>
      <w:tr>
        <w:trPr>
          <w:tblHeader w:val="false"/>
        </w:trPr>
        <w:tc>
          <w:tcPr>
            <w:tcW w:type="dxa" w:w="703"/>
            <w:shd w:fill="FFFFFF" w:val="clear"/>
            <w:tcMar>
              <w:top w:type="dxa" w:w="70"/>
              <w:left w:type="dxa" w:w="110"/>
              <w:bottom w:type="dxa" w:w="70"/>
              <w:right w:type="dxa" w:w="110"/>
            </w:tcMar>
          </w:tcPr>
          <w:p>
            <w:pPr>
              <w:spacing w:after="0" w:before="0"/>
            </w:pPr>
            <w:r>
              <w:rPr>
                <w:b/>
                <w:bCs/>
                <w:color w:val="13272F"/>
                <w:sz w:val="17"/>
                <w:szCs w:val="17"/>
              </w:rPr>
              <w:t xml:space="preserve">AWS</w:t>
            </w:r>
          </w:p>
        </w:tc>
        <w:tc>
          <w:tcPr>
            <w:tcW w:type="dxa" w:w="4642"/>
            <w:shd w:fill="FFFFFF" w:val="clear"/>
            <w:tcMar>
              <w:top w:type="dxa" w:w="70"/>
              <w:left w:type="dxa" w:w="110"/>
              <w:bottom w:type="dxa" w:w="70"/>
              <w:right w:type="dxa" w:w="110"/>
            </w:tcMar>
          </w:tcPr>
          <w:p>
            <w:pPr>
              <w:spacing w:after="0" w:before="0"/>
            </w:pPr>
            <w:r>
              <w:rPr>
                <w:color w:val="13272F"/>
                <w:sz w:val="17"/>
                <w:szCs w:val="17"/>
              </w:rPr>
              <w:t xml:space="preserve">Widest service range, deepest docs, most hireable skill</w:t>
            </w:r>
          </w:p>
        </w:tc>
        <w:tc>
          <w:tcPr>
            <w:tcW w:type="dxa" w:w="2141"/>
            <w:shd w:fill="FFFFFF" w:val="clear"/>
            <w:tcMar>
              <w:top w:type="dxa" w:w="70"/>
              <w:left w:type="dxa" w:w="110"/>
              <w:bottom w:type="dxa" w:w="70"/>
              <w:right w:type="dxa" w:w="110"/>
            </w:tcMar>
          </w:tcPr>
          <w:p>
            <w:pPr>
              <w:spacing w:after="0" w:before="0"/>
            </w:pPr>
            <w:r>
              <w:rPr>
                <w:color w:val="13272F"/>
                <w:sz w:val="17"/>
                <w:szCs w:val="17"/>
              </w:rPr>
              <w:t xml:space="preserve">Steepest learning curve, easiest to overspend</w:t>
            </w:r>
          </w:p>
        </w:tc>
        <w:tc>
          <w:tcPr>
            <w:tcW w:type="dxa" w:w="1874"/>
            <w:shd w:fill="FFFFFF" w:val="clear"/>
            <w:tcMar>
              <w:top w:type="dxa" w:w="70"/>
              <w:left w:type="dxa" w:w="110"/>
              <w:bottom w:type="dxa" w:w="70"/>
              <w:right w:type="dxa" w:w="110"/>
            </w:tcMar>
          </w:tcPr>
          <w:p>
            <w:pPr>
              <w:spacing w:after="0" w:before="0"/>
            </w:pPr>
            <w:r>
              <w:rPr>
                <w:color w:val="13272F"/>
                <w:sz w:val="17"/>
                <w:szCs w:val="17"/>
              </w:rPr>
              <w:t xml:space="preserve">Activate: often $1k–$100k via accelerators</w:t>
            </w:r>
          </w:p>
        </w:tc>
      </w:tr>
      <w:tr>
        <w:trPr>
          <w:tblHeader w:val="false"/>
        </w:trPr>
        <w:tc>
          <w:tcPr>
            <w:tcW w:type="dxa" w:w="703"/>
            <w:shd w:fill="F7FAFB" w:val="clear"/>
            <w:tcMar>
              <w:top w:type="dxa" w:w="70"/>
              <w:left w:type="dxa" w:w="110"/>
              <w:bottom w:type="dxa" w:w="70"/>
              <w:right w:type="dxa" w:w="110"/>
            </w:tcMar>
          </w:tcPr>
          <w:p>
            <w:pPr>
              <w:spacing w:after="0" w:before="0"/>
            </w:pPr>
            <w:r>
              <w:rPr>
                <w:b/>
                <w:bCs/>
                <w:color w:val="13272F"/>
                <w:sz w:val="17"/>
                <w:szCs w:val="17"/>
              </w:rPr>
              <w:t xml:space="preserve">GCP</w:t>
            </w:r>
          </w:p>
        </w:tc>
        <w:tc>
          <w:tcPr>
            <w:tcW w:type="dxa" w:w="4642"/>
            <w:shd w:fill="F7FAFB" w:val="clear"/>
            <w:tcMar>
              <w:top w:type="dxa" w:w="70"/>
              <w:left w:type="dxa" w:w="110"/>
              <w:bottom w:type="dxa" w:w="70"/>
              <w:right w:type="dxa" w:w="110"/>
            </w:tcMar>
          </w:tcPr>
          <w:p>
            <w:pPr>
              <w:spacing w:after="0" w:before="0"/>
            </w:pPr>
            <w:r>
              <w:rPr>
                <w:color w:val="13272F"/>
                <w:sz w:val="17"/>
                <w:szCs w:val="17"/>
              </w:rPr>
              <w:t xml:space="preserve">Best developer experience of the three; Cloud Run is genuinely excellent for containers; strong BigQuery</w:t>
            </w:r>
          </w:p>
        </w:tc>
        <w:tc>
          <w:tcPr>
            <w:tcW w:type="dxa" w:w="2141"/>
            <w:shd w:fill="F7FAFB" w:val="clear"/>
            <w:tcMar>
              <w:top w:type="dxa" w:w="70"/>
              <w:left w:type="dxa" w:w="110"/>
              <w:bottom w:type="dxa" w:w="70"/>
              <w:right w:type="dxa" w:w="110"/>
            </w:tcMar>
          </w:tcPr>
          <w:p>
            <w:pPr>
              <w:spacing w:after="0" w:before="0"/>
            </w:pPr>
            <w:r>
              <w:rPr>
                <w:color w:val="13272F"/>
                <w:sz w:val="17"/>
                <w:szCs w:val="17"/>
              </w:rPr>
              <w:t xml:space="preserve">Smaller ecosystem; some services deprecated</w:t>
            </w:r>
          </w:p>
        </w:tc>
        <w:tc>
          <w:tcPr>
            <w:tcW w:type="dxa" w:w="1874"/>
            <w:shd w:fill="F7FAFB" w:val="clear"/>
            <w:tcMar>
              <w:top w:type="dxa" w:w="70"/>
              <w:left w:type="dxa" w:w="110"/>
              <w:bottom w:type="dxa" w:w="70"/>
              <w:right w:type="dxa" w:w="110"/>
            </w:tcMar>
          </w:tcPr>
          <w:p>
            <w:pPr>
              <w:spacing w:after="0" w:before="0"/>
            </w:pPr>
            <w:r>
              <w:rPr>
                <w:color w:val="13272F"/>
                <w:sz w:val="17"/>
                <w:szCs w:val="17"/>
              </w:rPr>
              <w:t xml:space="preserve">Google for Startups: commonly $2k–$200k</w:t>
            </w:r>
          </w:p>
        </w:tc>
      </w:tr>
      <w:tr>
        <w:trPr>
          <w:tblHeader w:val="false"/>
        </w:trPr>
        <w:tc>
          <w:tcPr>
            <w:tcW w:type="dxa" w:w="703"/>
            <w:shd w:fill="FFFFFF" w:val="clear"/>
            <w:tcMar>
              <w:top w:type="dxa" w:w="70"/>
              <w:left w:type="dxa" w:w="110"/>
              <w:bottom w:type="dxa" w:w="70"/>
              <w:right w:type="dxa" w:w="110"/>
            </w:tcMar>
          </w:tcPr>
          <w:p>
            <w:pPr>
              <w:spacing w:after="0" w:before="0"/>
            </w:pPr>
            <w:r>
              <w:rPr>
                <w:b/>
                <w:bCs/>
                <w:color w:val="13272F"/>
                <w:sz w:val="17"/>
                <w:szCs w:val="17"/>
              </w:rPr>
              <w:t xml:space="preserve">Azure</w:t>
            </w:r>
          </w:p>
        </w:tc>
        <w:tc>
          <w:tcPr>
            <w:tcW w:type="dxa" w:w="4642"/>
            <w:shd w:fill="FFFFFF" w:val="clear"/>
            <w:tcMar>
              <w:top w:type="dxa" w:w="70"/>
              <w:left w:type="dxa" w:w="110"/>
              <w:bottom w:type="dxa" w:w="70"/>
              <w:right w:type="dxa" w:w="110"/>
            </w:tcMar>
          </w:tcPr>
          <w:p>
            <w:pPr>
              <w:spacing w:after="0" w:before="0"/>
            </w:pPr>
            <w:r>
              <w:rPr>
                <w:color w:val="13272F"/>
                <w:sz w:val="17"/>
                <w:szCs w:val="17"/>
              </w:rPr>
              <w:t xml:space="preserve">Best if you land education/enterprise deals; strong compliance story</w:t>
            </w:r>
          </w:p>
        </w:tc>
        <w:tc>
          <w:tcPr>
            <w:tcW w:type="dxa" w:w="2141"/>
            <w:shd w:fill="FFFFFF" w:val="clear"/>
            <w:tcMar>
              <w:top w:type="dxa" w:w="70"/>
              <w:left w:type="dxa" w:w="110"/>
              <w:bottom w:type="dxa" w:w="70"/>
              <w:right w:type="dxa" w:w="110"/>
            </w:tcMar>
          </w:tcPr>
          <w:p>
            <w:pPr>
              <w:spacing w:after="0" w:before="0"/>
            </w:pPr>
            <w:r>
              <w:rPr>
                <w:color w:val="13272F"/>
                <w:sz w:val="17"/>
                <w:szCs w:val="17"/>
              </w:rPr>
              <w:t xml:space="preserve">Least pleasant DX of the three for this workload</w:t>
            </w:r>
          </w:p>
        </w:tc>
        <w:tc>
          <w:tcPr>
            <w:tcW w:type="dxa" w:w="1874"/>
            <w:shd w:fill="FFFFFF" w:val="clear"/>
            <w:tcMar>
              <w:top w:type="dxa" w:w="70"/>
              <w:left w:type="dxa" w:w="110"/>
              <w:bottom w:type="dxa" w:w="70"/>
              <w:right w:type="dxa" w:w="110"/>
            </w:tcMar>
          </w:tcPr>
          <w:p>
            <w:pPr>
              <w:spacing w:after="0" w:before="0"/>
            </w:pPr>
            <w:r>
              <w:rPr>
                <w:color w:val="13272F"/>
                <w:sz w:val="17"/>
                <w:szCs w:val="17"/>
              </w:rPr>
              <w:t xml:space="preserve">Microsoft for Startups: often $5k–$150k</w:t>
            </w:r>
          </w:p>
        </w:tc>
      </w:tr>
    </w:tbl>
    <w:p>
      <w:pPr>
        <w:spacing w:after="160"/>
      </w:pPr>
    </w:p>
    <w:p>
      <w:pPr>
        <w:spacing w:after="120" w:before="60" w:line="300"/>
      </w:pPr>
      <w:r>
        <w:rPr>
          <w:b/>
          <w:bCs/>
          <w:color w:val="13272F"/>
          <w:sz w:val="20"/>
          <w:szCs w:val="20"/>
        </w:rPr>
        <w:t xml:space="preserve">If forced today: GCP Cloud Run.</w:t>
      </w:r>
      <w:r>
        <w:rPr>
          <w:color w:val="13272F"/>
          <w:sz w:val="20"/>
          <w:szCs w:val="20"/>
        </w:rPr>
        <w:t xml:space="preserve"> It is the closest hyperscaler product to the Render/Railway model — deploy a container, it scales to zero, you pay per request. The migration from Render to Cloud Run is small precisely because you containerised.</w:t>
      </w:r>
    </w:p>
    <w:p>
      <w:pPr>
        <w:pBdr>
          <w:left w:val="single" w:color="B3651F" w:sz="16" w:space="10"/>
        </w:pBdr>
        <w:shd w:fill="FFF6E8" w:val="clear"/>
        <w:spacing w:after="160" w:before="140" w:line="300"/>
        <w:ind w:left="260" w:right="200"/>
      </w:pPr>
      <w:r>
        <w:rPr>
          <w:b/>
          <w:bCs/>
          <w:color w:val="13272F"/>
          <w:sz w:val="20"/>
          <w:szCs w:val="20"/>
        </w:rPr>
        <w:t xml:space="preserve">Apply for startup credits early.</w:t>
      </w:r>
      <w:r>
        <w:rPr>
          <w:color w:val="13272F"/>
          <w:sz w:val="20"/>
          <w:szCs w:val="20"/>
        </w:rPr>
        <w:t xml:space="preserve"> All three programmes are open to pre-revenue companies and the credits typically cover your first year or two entirely. This is free money that most student projects never claim.</w:t>
      </w:r>
    </w:p>
    <w:p>
      <w:pPr>
        <w:pStyle w:val="Heading2"/>
        <w:spacing w:after="130" w:before="300"/>
      </w:pPr>
      <w:r>
        <w:rPr>
          <w:rFonts w:ascii="Georgia" w:cs="Georgia" w:eastAsia="Georgia" w:hAnsi="Georgia"/>
          <w:b/>
          <w:bCs/>
          <w:color w:val="1F7A8C"/>
          <w:sz w:val="25"/>
          <w:szCs w:val="25"/>
        </w:rPr>
        <w:t xml:space="preserve">8.2 Realistic cost breakdown</w:t>
      </w:r>
    </w:p>
    <w:p>
      <w:pPr>
        <w:pStyle w:val="Heading3"/>
        <w:spacing w:after="100" w:before="220"/>
      </w:pPr>
      <w:r>
        <w:rPr>
          <w:rFonts w:ascii="Georgia" w:cs="Georgia" w:eastAsia="Georgia" w:hAnsi="Georgia"/>
          <w:b/>
          <w:bCs/>
          <w:color w:val="13272F"/>
          <w:sz w:val="22"/>
          <w:szCs w:val="22"/>
        </w:rPr>
        <w:t xml:space="preserve">Development / pre-launch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680"/>
        <w:gridCol w:w="4680"/>
      </w:tblGrid>
      <w:tr>
        <w:trPr>
          <w:tblHeader/>
        </w:trPr>
        <w:tc>
          <w:tcPr>
            <w:tcW w:type="dxa" w:w="4680"/>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4680"/>
            <w:shd w:fill="13272F" w:val="clear"/>
            <w:tcMar>
              <w:top w:type="dxa" w:w="70"/>
              <w:left w:type="dxa" w:w="110"/>
              <w:bottom w:type="dxa" w:w="70"/>
              <w:right w:type="dxa" w:w="110"/>
            </w:tcMar>
          </w:tcPr>
          <w:p>
            <w:pPr>
              <w:spacing w:after="0" w:before="0"/>
            </w:pPr>
            <w:r>
              <w:rPr>
                <w:b/>
                <w:bCs/>
                <w:color w:val="FFFFFF"/>
                <w:sz w:val="17"/>
                <w:szCs w:val="17"/>
              </w:rPr>
              <w:t xml:space="preserve">Cost</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Render free tier</w:t>
            </w:r>
          </w:p>
        </w:tc>
        <w:tc>
          <w:tcPr>
            <w:tcW w:type="dxa" w:w="4680"/>
            <w:shd w:fill="FFFFFF" w:val="clear"/>
            <w:tcMar>
              <w:top w:type="dxa" w:w="70"/>
              <w:left w:type="dxa" w:w="110"/>
              <w:bottom w:type="dxa" w:w="70"/>
              <w:right w:type="dxa" w:w="110"/>
            </w:tcMar>
          </w:tcPr>
          <w:p>
            <w:pPr>
              <w:spacing w:after="0" w:before="0"/>
            </w:pPr>
            <w:r>
              <w:rPr>
                <w:color w:val="13272F"/>
                <w:sz w:val="17"/>
                <w:szCs w:val="17"/>
              </w:rPr>
              <w:t xml:space="preserve">$0 (sleeps when idle)</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Supabase free tier</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$0 (500 MB DB, 50k MAU)</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Domain (.com)</w:t>
            </w:r>
          </w:p>
        </w:tc>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$10–15 / year</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LLM (development usage)</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~$5–20 / month</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GitHub</w:t>
            </w:r>
          </w:p>
        </w:tc>
        <w:tc>
          <w:tcPr>
            <w:tcW w:type="dxa" w:w="4680"/>
            <w:shd w:fill="FFFFFF" w:val="clear"/>
            <w:tcMar>
              <w:top w:type="dxa" w:w="70"/>
              <w:left w:type="dxa" w:w="110"/>
              <w:bottom w:type="dxa" w:w="70"/>
              <w:right w:type="dxa" w:w="110"/>
            </w:tcMar>
          </w:tcPr>
          <w:p>
            <w:pPr>
              <w:spacing w:after="0" w:before="0"/>
            </w:pPr>
            <w:r>
              <w:rPr>
                <w:color w:val="13272F"/>
                <w:sz w:val="17"/>
                <w:szCs w:val="17"/>
              </w:rPr>
              <w:t xml:space="preserve">$0</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Sentry free tier</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$0</w:t>
            </w:r>
          </w:p>
        </w:tc>
      </w:tr>
      <w:tr>
        <w:trPr>
          <w:tblHeader w:val="false"/>
        </w:trPr>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 $10–25 / month</w:t>
            </w:r>
          </w:p>
        </w:tc>
      </w:tr>
    </w:tbl>
    <w:p>
      <w:pPr>
        <w:spacing w:after="160"/>
      </w:pPr>
    </w:p>
    <w:p>
      <w:pPr>
        <w:pStyle w:val="Heading3"/>
        <w:spacing w:after="100" w:before="220"/>
      </w:pPr>
      <w:r>
        <w:rPr>
          <w:rFonts w:ascii="Georgia" w:cs="Georgia" w:eastAsia="Georgia" w:hAnsi="Georgia"/>
          <w:b/>
          <w:bCs/>
          <w:color w:val="13272F"/>
          <w:sz w:val="22"/>
          <w:szCs w:val="22"/>
        </w:rPr>
        <w:t xml:space="preserve">Early launch (~500 active users, ~2 000 sessions/month)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467"/>
        <w:gridCol w:w="2893"/>
      </w:tblGrid>
      <w:tr>
        <w:trPr>
          <w:tblHeader/>
        </w:trPr>
        <w:tc>
          <w:tcPr>
            <w:tcW w:type="dxa" w:w="6467"/>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2893"/>
            <w:shd w:fill="13272F" w:val="clear"/>
            <w:tcMar>
              <w:top w:type="dxa" w:w="70"/>
              <w:left w:type="dxa" w:w="110"/>
              <w:bottom w:type="dxa" w:w="70"/>
              <w:right w:type="dxa" w:w="110"/>
            </w:tcMar>
          </w:tcPr>
          <w:p>
            <w:pPr>
              <w:spacing w:after="0" w:before="0"/>
            </w:pPr>
            <w:r>
              <w:rPr>
                <w:b/>
                <w:bCs/>
                <w:color w:val="FFFFFF"/>
                <w:sz w:val="17"/>
                <w:szCs w:val="17"/>
              </w:rPr>
              <w:t xml:space="preserve">Cost / month</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Render Standard (no cold starts)</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~$25</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Supabase Pro (8 GB, daily backups)</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~$25</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LLM (2 000 sessions)</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~$20–40</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Domain (amortised)</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Email (Resend/Postmark, transactional)</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$0–15</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Sentry</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$0–26</w:t>
            </w:r>
          </w:p>
        </w:tc>
      </w:tr>
      <w:tr>
        <w:trPr>
          <w:tblHeader w:val="false"/>
        </w:trPr>
        <w:tc>
          <w:tcPr>
            <w:tcW w:type="dxa" w:w="6467"/>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2893"/>
            <w:shd w:fill="FFFFFF" w:val="clear"/>
            <w:tcMar>
              <w:top w:type="dxa" w:w="70"/>
              <w:left w:type="dxa" w:w="110"/>
              <w:bottom w:type="dxa" w:w="70"/>
              <w:right w:type="dxa" w:w="110"/>
            </w:tcMar>
          </w:tcPr>
          <w:p>
            <w:pPr>
              <w:spacing w:after="0" w:before="0"/>
            </w:pPr>
            <w:r>
              <w:rPr>
                <w:b/>
                <w:bCs/>
                <w:color w:val="13272F"/>
                <w:sz w:val="17"/>
                <w:szCs w:val="17"/>
              </w:rPr>
              <w:t xml:space="preserve">≈ $70–130 / month</w:t>
            </w:r>
          </w:p>
        </w:tc>
      </w:tr>
    </w:tbl>
    <w:p>
      <w:pPr>
        <w:spacing w:after="160"/>
      </w:pPr>
    </w:p>
    <w:p>
      <w:pPr>
        <w:pStyle w:val="Heading3"/>
        <w:spacing w:after="100" w:before="220"/>
      </w:pPr>
      <w:r>
        <w:rPr>
          <w:rFonts w:ascii="Georgia" w:cs="Georgia" w:eastAsia="Georgia" w:hAnsi="Georgia"/>
          <w:b/>
          <w:bCs/>
          <w:color w:val="13272F"/>
          <w:sz w:val="22"/>
          <w:szCs w:val="22"/>
        </w:rPr>
        <w:t xml:space="preserve">App store one-offs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092"/>
        <w:gridCol w:w="3268"/>
      </w:tblGrid>
      <w:tr>
        <w:trPr>
          <w:tblHeader/>
        </w:trPr>
        <w:tc>
          <w:tcPr>
            <w:tcW w:type="dxa" w:w="6092"/>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3268"/>
            <w:shd w:fill="13272F" w:val="clear"/>
            <w:tcMar>
              <w:top w:type="dxa" w:w="70"/>
              <w:left w:type="dxa" w:w="110"/>
              <w:bottom w:type="dxa" w:w="70"/>
              <w:right w:type="dxa" w:w="110"/>
            </w:tcMar>
          </w:tcPr>
          <w:p>
            <w:pPr>
              <w:spacing w:after="0" w:before="0"/>
            </w:pPr>
            <w:r>
              <w:rPr>
                <w:b/>
                <w:bCs/>
                <w:color w:val="FFFFFF"/>
                <w:sz w:val="17"/>
                <w:szCs w:val="17"/>
              </w:rPr>
              <w:t xml:space="preserve">Cost</w:t>
            </w:r>
          </w:p>
        </w:tc>
      </w:tr>
      <w:tr>
        <w:trPr>
          <w:tblHeader w:val="false"/>
        </w:trPr>
        <w:tc>
          <w:tcPr>
            <w:tcW w:type="dxa" w:w="6092"/>
            <w:shd w:fill="FFFFFF" w:val="clear"/>
            <w:tcMar>
              <w:top w:type="dxa" w:w="70"/>
              <w:left w:type="dxa" w:w="110"/>
              <w:bottom w:type="dxa" w:w="70"/>
              <w:right w:type="dxa" w:w="110"/>
            </w:tcMar>
          </w:tcPr>
          <w:p>
            <w:pPr>
              <w:spacing w:after="0" w:before="0"/>
            </w:pPr>
            <w:r>
              <w:rPr>
                <w:color w:val="13272F"/>
                <w:sz w:val="17"/>
                <w:szCs w:val="17"/>
              </w:rPr>
              <w:t xml:space="preserve">Apple Developer Program</w:t>
            </w:r>
          </w:p>
        </w:tc>
        <w:tc>
          <w:tcPr>
            <w:tcW w:type="dxa" w:w="3268"/>
            <w:shd w:fill="FFFFFF" w:val="clear"/>
            <w:tcMar>
              <w:top w:type="dxa" w:w="70"/>
              <w:left w:type="dxa" w:w="110"/>
              <w:bottom w:type="dxa" w:w="70"/>
              <w:right w:type="dxa" w:w="110"/>
            </w:tcMar>
          </w:tcPr>
          <w:p>
            <w:pPr>
              <w:spacing w:after="0" w:before="0"/>
            </w:pPr>
            <w:r>
              <w:rPr>
                <w:b/>
                <w:bCs/>
                <w:color w:val="13272F"/>
                <w:sz w:val="17"/>
                <w:szCs w:val="17"/>
              </w:rPr>
              <w:t xml:space="preserve">$99 / year</w:t>
            </w:r>
          </w:p>
        </w:tc>
      </w:tr>
      <w:tr>
        <w:trPr>
          <w:tblHeader w:val="false"/>
        </w:trPr>
        <w:tc>
          <w:tcPr>
            <w:tcW w:type="dxa" w:w="6092"/>
            <w:shd w:fill="F7FAFB" w:val="clear"/>
            <w:tcMar>
              <w:top w:type="dxa" w:w="70"/>
              <w:left w:type="dxa" w:w="110"/>
              <w:bottom w:type="dxa" w:w="70"/>
              <w:right w:type="dxa" w:w="110"/>
            </w:tcMar>
          </w:tcPr>
          <w:p>
            <w:pPr>
              <w:spacing w:after="0" w:before="0"/>
            </w:pPr>
            <w:r>
              <w:rPr>
                <w:color w:val="13272F"/>
                <w:sz w:val="17"/>
                <w:szCs w:val="17"/>
              </w:rPr>
              <w:t xml:space="preserve">Google Play Developer</w:t>
            </w:r>
          </w:p>
        </w:tc>
        <w:tc>
          <w:tcPr>
            <w:tcW w:type="dxa" w:w="3268"/>
            <w:shd w:fill="F7FAFB" w:val="clear"/>
            <w:tcMar>
              <w:top w:type="dxa" w:w="70"/>
              <w:left w:type="dxa" w:w="110"/>
              <w:bottom w:type="dxa" w:w="70"/>
              <w:right w:type="dxa" w:w="110"/>
            </w:tcMar>
          </w:tcPr>
          <w:p>
            <w:pPr>
              <w:spacing w:after="0" w:before="0"/>
            </w:pPr>
            <w:r>
              <w:rPr>
                <w:b/>
                <w:bCs/>
                <w:color w:val="13272F"/>
                <w:sz w:val="17"/>
                <w:szCs w:val="17"/>
              </w:rPr>
              <w:t xml:space="preserve">$25 once</w:t>
            </w:r>
          </w:p>
        </w:tc>
      </w:tr>
      <w:tr>
        <w:trPr>
          <w:tblHeader w:val="false"/>
        </w:trPr>
        <w:tc>
          <w:tcPr>
            <w:tcW w:type="dxa" w:w="6092"/>
            <w:shd w:fill="FFFFFF" w:val="clear"/>
            <w:tcMar>
              <w:top w:type="dxa" w:w="70"/>
              <w:left w:type="dxa" w:w="110"/>
              <w:bottom w:type="dxa" w:w="70"/>
              <w:right w:type="dxa" w:w="110"/>
            </w:tcMar>
          </w:tcPr>
          <w:p>
            <w:pPr>
              <w:spacing w:after="0" w:before="0"/>
            </w:pPr>
            <w:r>
              <w:rPr>
                <w:color w:val="13272F"/>
                <w:sz w:val="17"/>
                <w:szCs w:val="17"/>
              </w:rPr>
              <w:t xml:space="preserve">Company registration (if you incorporate)</w:t>
            </w:r>
          </w:p>
        </w:tc>
        <w:tc>
          <w:tcPr>
            <w:tcW w:type="dxa" w:w="3268"/>
            <w:shd w:fill="FFFFFF" w:val="clear"/>
            <w:tcMar>
              <w:top w:type="dxa" w:w="70"/>
              <w:left w:type="dxa" w:w="110"/>
              <w:bottom w:type="dxa" w:w="70"/>
              <w:right w:type="dxa" w:w="110"/>
            </w:tcMar>
          </w:tcPr>
          <w:p>
            <w:pPr>
              <w:spacing w:after="0" w:before="0"/>
            </w:pPr>
            <w:r>
              <w:rPr>
                <w:color w:val="13272F"/>
                <w:sz w:val="17"/>
                <w:szCs w:val="17"/>
              </w:rPr>
              <w:t xml:space="preserve">Varies by jurisdiction</w:t>
            </w:r>
          </w:p>
        </w:tc>
      </w:tr>
    </w:tbl>
    <w:p>
      <w:pPr>
        <w:spacing w:after="160"/>
      </w:pPr>
    </w:p>
    <w:p>
      <w:pPr>
        <w:spacing w:after="120" w:before="60" w:line="300"/>
      </w:pPr>
      <w:r>
        <w:rPr>
          <w:b/>
          <w:bCs/>
          <w:color w:val="13272F"/>
          <w:sz w:val="20"/>
          <w:szCs w:val="20"/>
        </w:rPr>
        <w:t xml:space="preserve">The reassuring conclusion: you can run this properly for under $100/month until you have real traction.</w:t>
      </w:r>
      <w:r>
        <w:rPr>
          <w:color w:val="13272F"/>
          <w:sz w:val="20"/>
          <w:szCs w:val="20"/>
        </w:rPr>
        <w:t xml:space="preserve"> Infrastructure is not your constraint. Your constraint is engineering time.</w:t>
      </w:r>
    </w:p>
    <w:p>
      <w:pPr>
        <w:pStyle w:val="Heading2"/>
        <w:spacing w:after="130" w:before="300"/>
      </w:pPr>
      <w:r>
        <w:rPr>
          <w:rFonts w:ascii="Georgia" w:cs="Georgia" w:eastAsia="Georgia" w:hAnsi="Georgia"/>
          <w:b/>
          <w:bCs/>
          <w:color w:val="1F7A8C"/>
          <w:sz w:val="25"/>
          <w:szCs w:val="25"/>
        </w:rPr>
        <w:t xml:space="preserve">8.3 Domain</w:t>
      </w:r>
    </w:p>
    <w:p>
      <w:pPr>
        <w:spacing w:after="120" w:before="60" w:line="300"/>
      </w:pPr>
      <w:r>
        <w:rPr>
          <w:b/>
          <w:bCs/>
          <w:color w:val="13272F"/>
          <w:sz w:val="20"/>
          <w:szCs w:val="20"/>
        </w:rPr>
        <w:t xml:space="preserve">Yes, you need one</w:t>
      </w:r>
      <w:r>
        <w:rPr>
          <w:color w:val="13272F"/>
          <w:sz w:val="20"/>
          <w:szCs w:val="20"/>
        </w:rPr>
        <w:t xml:space="preserve"> — before app-store submission, and before any real user sees the product.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09"/>
        <w:gridCol w:w="7951"/>
      </w:tblGrid>
      <w:tr>
        <w:trPr>
          <w:tblHeader/>
        </w:trPr>
        <w:tc>
          <w:tcPr>
            <w:tcW w:type="dxa" w:w="1409"/>
            <w:shd w:fill="13272F" w:val="clear"/>
            <w:tcMar>
              <w:top w:type="dxa" w:w="70"/>
              <w:left w:type="dxa" w:w="110"/>
              <w:bottom w:type="dxa" w:w="70"/>
              <w:right w:type="dxa" w:w="110"/>
            </w:tcMar>
          </w:tcPr>
          <w:p>
            <w:pPr>
              <w:spacing w:after="0" w:before="0"/>
            </w:pPr>
            <w:r>
              <w:rPr>
                <w:b/>
                <w:bCs/>
                <w:color w:val="FFFFFF"/>
                <w:sz w:val="17"/>
                <w:szCs w:val="17"/>
              </w:rPr>
              <w:t xml:space="preserve">Consideration</w:t>
            </w:r>
          </w:p>
        </w:tc>
        <w:tc>
          <w:tcPr>
            <w:tcW w:type="dxa" w:w="7951"/>
            <w:shd w:fill="13272F" w:val="clear"/>
            <w:tcMar>
              <w:top w:type="dxa" w:w="70"/>
              <w:left w:type="dxa" w:w="110"/>
              <w:bottom w:type="dxa" w:w="70"/>
              <w:right w:type="dxa" w:w="110"/>
            </w:tcMar>
          </w:tcPr>
          <w:p>
            <w:pPr>
              <w:spacing w:after="0" w:before="0"/>
            </w:pPr>
            <w:r>
              <w:rPr>
                <w:b/>
                <w:bCs/>
                <w:color w:val="FFFFFF"/>
                <w:sz w:val="17"/>
                <w:szCs w:val="17"/>
              </w:rPr>
              <w:t xml:space="preserve">Guidance</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Cost</w:t>
            </w:r>
          </w:p>
        </w:tc>
        <w:tc>
          <w:tcPr>
            <w:tcW w:type="dxa" w:w="795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.com</w:t>
            </w:r>
            <w:r>
              <w:rPr>
                <w:color w:val="13272F"/>
                <w:sz w:val="17"/>
                <w:szCs w:val="17"/>
              </w:rPr>
              <w:t xml:space="preserve"> $10–15/yr · </w:t>
            </w:r>
            <w:r>
              <w:rPr>
                <w:rFonts w:ascii="Consolas" w:cs="Consolas" w:eastAsia="Consolas" w:hAnsi="Consolas"/>
                <w:color w:val="B3651F"/>
                <w:sz w:val="15"/>
                <w:szCs w:val="15"/>
              </w:rPr>
              <w:t xml:space="preserve">.app</w:t>
            </w:r>
            <w:r>
              <w:rPr>
                <w:color w:val="13272F"/>
                <w:sz w:val="17"/>
                <w:szCs w:val="17"/>
              </w:rPr>
              <w:t xml:space="preserve"> ~$15/yr (HTTPS enforced, which is a small plus) · </w:t>
            </w:r>
            <w:r>
              <w:rPr>
                <w:rFonts w:ascii="Consolas" w:cs="Consolas" w:eastAsia="Consolas" w:hAnsi="Consolas"/>
                <w:color w:val="B3651F"/>
                <w:sz w:val="15"/>
                <w:szCs w:val="15"/>
              </w:rPr>
              <w:t xml:space="preserve">.ai</w:t>
            </w:r>
            <w:r>
              <w:rPr>
                <w:color w:val="13272F"/>
                <w:sz w:val="17"/>
                <w:szCs w:val="17"/>
              </w:rPr>
              <w:t xml:space="preserve"> $70–100/yr · </w:t>
            </w:r>
            <w:r>
              <w:rPr>
                <w:rFonts w:ascii="Consolas" w:cs="Consolas" w:eastAsia="Consolas" w:hAnsi="Consolas"/>
                <w:color w:val="B3651F"/>
                <w:sz w:val="15"/>
                <w:szCs w:val="15"/>
              </w:rPr>
              <w:t xml:space="preserve">.health</w:t>
            </w:r>
            <w:r>
              <w:rPr>
                <w:color w:val="13272F"/>
                <w:sz w:val="17"/>
                <w:szCs w:val="17"/>
              </w:rPr>
              <w:t xml:space="preserve"> premium</w:t>
            </w:r>
          </w:p>
        </w:tc>
      </w:tr>
      <w:tr>
        <w:trPr>
          <w:tblHeader w:val="false"/>
        </w:trPr>
        <w:tc>
          <w:tcPr>
            <w:tcW w:type="dxa" w:w="1409"/>
            <w:shd w:fill="F7FAFB" w:val="clear"/>
            <w:tcMar>
              <w:top w:type="dxa" w:w="70"/>
              <w:left w:type="dxa" w:w="110"/>
              <w:bottom w:type="dxa" w:w="70"/>
              <w:right w:type="dxa" w:w="110"/>
            </w:tcMar>
          </w:tcPr>
          <w:p>
            <w:pPr>
              <w:spacing w:after="0" w:before="0"/>
            </w:pPr>
            <w:r>
              <w:rPr>
                <w:color w:val="13272F"/>
                <w:sz w:val="17"/>
                <w:szCs w:val="17"/>
              </w:rPr>
              <w:t xml:space="preserve">Registrar</w:t>
            </w:r>
          </w:p>
        </w:tc>
        <w:tc>
          <w:tcPr>
            <w:tcW w:type="dxa" w:w="7951"/>
            <w:shd w:fill="F7FAFB" w:val="clear"/>
            <w:tcMar>
              <w:top w:type="dxa" w:w="70"/>
              <w:left w:type="dxa" w:w="110"/>
              <w:bottom w:type="dxa" w:w="70"/>
              <w:right w:type="dxa" w:w="110"/>
            </w:tcMar>
          </w:tcPr>
          <w:p>
            <w:pPr>
              <w:spacing w:after="0" w:before="0"/>
            </w:pPr>
            <w:r>
              <w:rPr>
                <w:color w:val="13272F"/>
                <w:sz w:val="17"/>
                <w:szCs w:val="17"/>
              </w:rPr>
              <w:t xml:space="preserve">Cloudflare or Namecheap. </w:t>
            </w:r>
            <w:r>
              <w:rPr>
                <w:b/>
                <w:bCs/>
                <w:color w:val="13272F"/>
                <w:sz w:val="17"/>
                <w:szCs w:val="17"/>
              </w:rPr>
              <w:t xml:space="preserve">Avoid registrars that upsell aggressively.</w:t>
            </w:r>
            <w:r>
              <w:rPr>
                <w:color w:val="13272F"/>
                <w:sz w:val="17"/>
                <w:szCs w:val="17"/>
              </w:rPr>
              <w:t xml:space="preserve"> Cloudflare sells at wholesale cost.</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Privacy</w:t>
            </w:r>
          </w:p>
        </w:tc>
        <w:tc>
          <w:tcPr>
            <w:tcW w:type="dxa" w:w="7951"/>
            <w:shd w:fill="FFFFFF" w:val="clear"/>
            <w:tcMar>
              <w:top w:type="dxa" w:w="70"/>
              <w:left w:type="dxa" w:w="110"/>
              <w:bottom w:type="dxa" w:w="70"/>
              <w:right w:type="dxa" w:w="110"/>
            </w:tcMar>
          </w:tcPr>
          <w:p>
            <w:pPr>
              <w:spacing w:after="0" w:before="0"/>
            </w:pPr>
            <w:r>
              <w:rPr>
                <w:color w:val="13272F"/>
                <w:sz w:val="17"/>
                <w:szCs w:val="17"/>
              </w:rPr>
              <w:t xml:space="preserve">WHOIS privacy — usually free, take it</w:t>
            </w:r>
          </w:p>
        </w:tc>
      </w:tr>
      <w:tr>
        <w:trPr>
          <w:tblHeader w:val="false"/>
        </w:trPr>
        <w:tc>
          <w:tcPr>
            <w:tcW w:type="dxa" w:w="1409"/>
            <w:shd w:fill="F7FAFB" w:val="clear"/>
            <w:tcMar>
              <w:top w:type="dxa" w:w="70"/>
              <w:left w:type="dxa" w:w="110"/>
              <w:bottom w:type="dxa" w:w="70"/>
              <w:right w:type="dxa" w:w="110"/>
            </w:tcMar>
          </w:tcPr>
          <w:p>
            <w:pPr>
              <w:spacing w:after="0" w:before="0"/>
            </w:pPr>
            <w:r>
              <w:rPr>
                <w:color w:val="13272F"/>
                <w:sz w:val="17"/>
                <w:szCs w:val="17"/>
              </w:rPr>
              <w:t xml:space="preserve">Recommendation</w:t>
            </w:r>
          </w:p>
        </w:tc>
        <w:tc>
          <w:tcPr>
            <w:tcW w:type="dxa" w:w="7951"/>
            <w:shd w:fill="F7FAFB" w:val="clear"/>
            <w:tcMar>
              <w:top w:type="dxa" w:w="70"/>
              <w:left w:type="dxa" w:w="110"/>
              <w:bottom w:type="dxa" w:w="70"/>
              <w:right w:type="dxa" w:w="110"/>
            </w:tcMar>
          </w:tcPr>
          <w:p>
            <w:pPr>
              <w:spacing w:after="0" w:before="0"/>
            </w:pPr>
            <w:r>
              <w:rPr>
                <w:color w:val="13272F"/>
                <w:sz w:val="17"/>
                <w:szCs w:val="17"/>
              </w:rPr>
              <w:t xml:space="preserve">Get the </w:t>
            </w:r>
            <w:r>
              <w:rPr>
                <w:rFonts w:ascii="Consolas" w:cs="Consolas" w:eastAsia="Consolas" w:hAnsi="Consolas"/>
                <w:color w:val="B3651F"/>
                <w:sz w:val="15"/>
                <w:szCs w:val="15"/>
              </w:rPr>
              <w:t xml:space="preserve">.com</w:t>
            </w:r>
            <w:r>
              <w:rPr>
                <w:color w:val="13272F"/>
                <w:sz w:val="17"/>
                <w:szCs w:val="17"/>
              </w:rPr>
              <w:t xml:space="preserve"> if available. Secondary TLDs are fine but </w:t>
            </w:r>
            <w:r>
              <w:rPr>
                <w:rFonts w:ascii="Consolas" w:cs="Consolas" w:eastAsia="Consolas" w:hAnsi="Consolas"/>
                <w:color w:val="B3651F"/>
                <w:sz w:val="15"/>
                <w:szCs w:val="15"/>
              </w:rPr>
              <w:t xml:space="preserve">.com</w:t>
            </w:r>
            <w:r>
              <w:rPr>
                <w:color w:val="13272F"/>
                <w:sz w:val="17"/>
                <w:szCs w:val="17"/>
              </w:rPr>
              <w:t xml:space="preserve"> remains what users type.</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Subdomains</w:t>
            </w:r>
          </w:p>
        </w:tc>
        <w:tc>
          <w:tcPr>
            <w:tcW w:type="dxa" w:w="795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app.</w:t>
            </w:r>
            <w:r>
              <w:rPr>
                <w:color w:val="13272F"/>
                <w:sz w:val="17"/>
                <w:szCs w:val="17"/>
              </w:rPr>
              <w:t xml:space="preserve"> for the product · </w:t>
            </w:r>
            <w:r>
              <w:rPr>
                <w:rFonts w:ascii="Consolas" w:cs="Consolas" w:eastAsia="Consolas" w:hAnsi="Consolas"/>
                <w:color w:val="B3651F"/>
                <w:sz w:val="15"/>
                <w:szCs w:val="15"/>
              </w:rPr>
              <w:t xml:space="preserve">api.</w:t>
            </w:r>
            <w:r>
              <w:rPr>
                <w:color w:val="13272F"/>
                <w:sz w:val="17"/>
                <w:szCs w:val="17"/>
              </w:rPr>
              <w:t xml:space="preserve"> · </w:t>
            </w:r>
            <w:r>
              <w:rPr>
                <w:rFonts w:ascii="Consolas" w:cs="Consolas" w:eastAsia="Consolas" w:hAnsi="Consolas"/>
                <w:color w:val="B3651F"/>
                <w:sz w:val="15"/>
                <w:szCs w:val="15"/>
              </w:rPr>
              <w:t xml:space="preserve">admin.</w:t>
            </w:r>
            <w:r>
              <w:rPr>
                <w:color w:val="13272F"/>
                <w:sz w:val="17"/>
                <w:szCs w:val="17"/>
              </w:rPr>
              <w:t xml:space="preserve"> · </w:t>
            </w:r>
            <w:r>
              <w:rPr>
                <w:rFonts w:ascii="Consolas" w:cs="Consolas" w:eastAsia="Consolas" w:hAnsi="Consolas"/>
                <w:color w:val="B3651F"/>
                <w:sz w:val="15"/>
                <w:szCs w:val="15"/>
              </w:rPr>
              <w:t xml:space="preserve">docs.</w:t>
            </w:r>
            <w:r>
              <w:rPr>
                <w:color w:val="13272F"/>
                <w:sz w:val="17"/>
                <w:szCs w:val="17"/>
              </w:rPr>
              <w:t xml:space="preserve"> — plan these now, they are free</w:t>
            </w:r>
          </w:p>
        </w:tc>
      </w:tr>
    </w:tbl>
    <w:p>
      <w:pPr>
        <w:spacing w:after="160"/>
      </w:pPr>
    </w:p>
    <w:p>
      <w:pPr>
        <w:spacing w:after="120" w:before="60" w:line="300"/>
      </w:pPr>
      <w:r>
        <w:rPr>
          <w:b/>
          <w:bCs/>
          <w:color w:val="13272F"/>
          <w:sz w:val="20"/>
          <w:szCs w:val="20"/>
        </w:rPr>
        <w:t xml:space="preserve">Register it early.</w:t>
      </w:r>
      <w:r>
        <w:rPr>
          <w:color w:val="13272F"/>
          <w:sz w:val="20"/>
          <w:szCs w:val="20"/>
        </w:rPr>
        <w:t xml:space="preserve"> Domain squatting on a name you have started using publicly is a real and annoying problem.</w:t>
      </w:r>
    </w:p>
    <w:p>
      <w:pPr>
        <w:pStyle w:val="Heading2"/>
        <w:spacing w:after="130" w:before="300"/>
      </w:pPr>
      <w:r>
        <w:rPr>
          <w:rFonts w:ascii="Georgia" w:cs="Georgia" w:eastAsia="Georgia" w:hAnsi="Georgia"/>
          <w:b/>
          <w:bCs/>
          <w:color w:val="1F7A8C"/>
          <w:sz w:val="25"/>
          <w:szCs w:val="25"/>
        </w:rPr>
        <w:t xml:space="preserve">8.4 What you do *not* need yet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49"/>
        <w:gridCol w:w="6211"/>
      </w:tblGrid>
      <w:tr>
        <w:trPr>
          <w:tblHeader/>
        </w:trPr>
        <w:tc>
          <w:tcPr>
            <w:tcW w:type="dxa" w:w="3149"/>
            <w:shd w:fill="13272F" w:val="clear"/>
            <w:tcMar>
              <w:top w:type="dxa" w:w="70"/>
              <w:left w:type="dxa" w:w="110"/>
              <w:bottom w:type="dxa" w:w="70"/>
              <w:right w:type="dxa" w:w="110"/>
            </w:tcMar>
          </w:tcPr>
          <w:p>
            <w:pPr>
              <w:spacing w:after="0" w:before="0"/>
            </w:pPr>
            <w:r>
              <w:rPr>
                <w:b/>
                <w:bCs/>
                <w:color w:val="FFFFFF"/>
                <w:sz w:val="17"/>
                <w:szCs w:val="17"/>
              </w:rPr>
              <w:t xml:space="preserve">Not needed</w:t>
            </w:r>
          </w:p>
        </w:tc>
        <w:tc>
          <w:tcPr>
            <w:tcW w:type="dxa" w:w="6211"/>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Kubernetes</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One service. Render handles it.</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CDN (beyond what the platform gives)</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Your assets are small; platform CDNs suffice</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Multi-region</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Latency to a single region is fine globally for this workload</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Dedicated GPU</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Embedding inference runs fine on CPU</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Load balancer configuration</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Included in the PaaS</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Terraform / IaC</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Genuinely useful later; premature with two services and one environment</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Legal, licensing, and liability</w:t>
      </w:r>
    </w:p>
    <w:p>
      <w:pPr>
        <w:pBdr>
          <w:left w:val="single" w:color="B3651F" w:sz="16" w:space="10"/>
        </w:pBdr>
        <w:shd w:fill="FFF6E8" w:val="clear"/>
        <w:spacing w:after="160" w:before="140" w:line="300"/>
        <w:ind w:left="260" w:right="200"/>
      </w:pPr>
      <w:r>
        <w:rPr>
          <w:color w:val="13272F"/>
          <w:sz w:val="20"/>
          <w:szCs w:val="20"/>
        </w:rPr>
        <w:t xml:space="preserve">This section exists because D-7 (commercial, not open source) turns several things from academic notes into binding constraints.</w:t>
      </w:r>
    </w:p>
    <w:p>
      <w:pPr>
        <w:pStyle w:val="Heading2"/>
        <w:spacing w:after="130" w:before="300"/>
      </w:pPr>
      <w:r>
        <w:rPr>
          <w:rFonts w:ascii="Georgia" w:cs="Georgia" w:eastAsia="Georgia" w:hAnsi="Georgia"/>
          <w:b/>
          <w:bCs/>
          <w:color w:val="1F7A8C"/>
          <w:sz w:val="25"/>
          <w:szCs w:val="25"/>
        </w:rPr>
        <w:t xml:space="preserve">9.1 Dataset licensing — the constraint most likely to bite you</w:t>
      </w:r>
    </w:p>
    <w:p>
      <w:pPr>
        <w:spacing w:after="120" w:before="60" w:line="300"/>
      </w:pPr>
      <w:r>
        <w:rPr>
          <w:color w:val="13272F"/>
          <w:sz w:val="20"/>
          <w:szCs w:val="20"/>
        </w:rPr>
        <w:t xml:space="preserve">v1 assumed research use. </w:t>
      </w:r>
      <w:r>
        <w:rPr>
          <w:b/>
          <w:bCs/>
          <w:color w:val="13272F"/>
          <w:sz w:val="20"/>
          <w:szCs w:val="20"/>
        </w:rPr>
        <w:t xml:space="preserve">Commercial use is a different licence question</w:t>
      </w:r>
      <w:r>
        <w:rPr>
          <w:color w:val="13272F"/>
          <w:sz w:val="20"/>
          <w:szCs w:val="20"/>
        </w:rPr>
        <w:t xml:space="preserve">, and some of the datasets in the Case Factory plan may not permit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0"/>
        <w:gridCol w:w="8010"/>
      </w:tblGrid>
      <w:tr>
        <w:trPr>
          <w:tblHeader/>
        </w:trPr>
        <w:tc>
          <w:tcPr>
            <w:tcW w:type="dxa" w:w="1350"/>
            <w:shd w:fill="13272F" w:val="clear"/>
            <w:tcMar>
              <w:top w:type="dxa" w:w="70"/>
              <w:left w:type="dxa" w:w="110"/>
              <w:bottom w:type="dxa" w:w="70"/>
              <w:right w:type="dxa" w:w="110"/>
            </w:tcMar>
          </w:tcPr>
          <w:p>
            <w:pPr>
              <w:spacing w:after="0" w:before="0"/>
            </w:pPr>
            <w:r>
              <w:rPr>
                <w:b/>
                <w:bCs/>
                <w:color w:val="FFFFFF"/>
                <w:sz w:val="17"/>
                <w:szCs w:val="17"/>
              </w:rPr>
              <w:t xml:space="preserve">Dataset</w:t>
            </w:r>
          </w:p>
        </w:tc>
        <w:tc>
          <w:tcPr>
            <w:tcW w:type="dxa" w:w="8010"/>
            <w:shd w:fill="13272F" w:val="clear"/>
            <w:tcMar>
              <w:top w:type="dxa" w:w="70"/>
              <w:left w:type="dxa" w:w="110"/>
              <w:bottom w:type="dxa" w:w="70"/>
              <w:right w:type="dxa" w:w="110"/>
            </w:tcMar>
          </w:tcPr>
          <w:p>
            <w:pPr>
              <w:spacing w:after="0" w:before="0"/>
            </w:pPr>
            <w:r>
              <w:rPr>
                <w:b/>
                <w:bCs/>
                <w:color w:val="FFFFFF"/>
                <w:sz w:val="17"/>
                <w:szCs w:val="17"/>
              </w:rPr>
              <w:t xml:space="preserve">What to verify </w:t>
            </w:r>
            <w:r>
              <w:rPr>
                <w:b/>
                <w:bCs/>
                <w:color w:val="FFFFFF"/>
                <w:sz w:val="17"/>
                <w:szCs w:val="17"/>
              </w:rPr>
              <w:t xml:space="preserve">before</w:t>
            </w:r>
            <w:r>
              <w:rPr>
                <w:b/>
                <w:bCs/>
                <w:color w:val="FFFFFF"/>
                <w:sz w:val="17"/>
                <w:szCs w:val="17"/>
              </w:rPr>
              <w:t xml:space="preserve"> building on it</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DDXPlus</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Confirm the licence permits commercial derivative works</w:t>
            </w:r>
          </w:p>
        </w:tc>
      </w:tr>
      <w:tr>
        <w:trPr>
          <w:tblHeader w:val="false"/>
        </w:trPr>
        <w:tc>
          <w:tcPr>
            <w:tcW w:type="dxa" w:w="1350"/>
            <w:shd w:fill="F7FAFB" w:val="clear"/>
            <w:tcMar>
              <w:top w:type="dxa" w:w="70"/>
              <w:left w:type="dxa" w:w="110"/>
              <w:bottom w:type="dxa" w:w="70"/>
              <w:right w:type="dxa" w:w="110"/>
            </w:tcMar>
          </w:tcPr>
          <w:p>
            <w:pPr>
              <w:spacing w:after="0" w:before="0"/>
            </w:pPr>
            <w:r>
              <w:rPr>
                <w:b/>
                <w:bCs/>
                <w:color w:val="13272F"/>
                <w:sz w:val="17"/>
                <w:szCs w:val="17"/>
              </w:rPr>
              <w:t xml:space="preserve">MedQA</w:t>
            </w:r>
          </w:p>
        </w:tc>
        <w:tc>
          <w:tcPr>
            <w:tcW w:type="dxa" w:w="8010"/>
            <w:shd w:fill="F7FAFB" w:val="clear"/>
            <w:tcMar>
              <w:top w:type="dxa" w:w="70"/>
              <w:left w:type="dxa" w:w="110"/>
              <w:bottom w:type="dxa" w:w="70"/>
              <w:right w:type="dxa" w:w="110"/>
            </w:tcMar>
          </w:tcPr>
          <w:p>
            <w:pPr>
              <w:spacing w:after="0" w:before="0"/>
            </w:pPr>
            <w:r>
              <w:rPr>
                <w:color w:val="13272F"/>
                <w:sz w:val="17"/>
                <w:szCs w:val="17"/>
              </w:rPr>
              <w:t xml:space="preserve">Confirm commercial use; check whether USMLE-derived content carries additional restriction</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PMC-Patients</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Highest risk.</w:t>
            </w:r>
            <w:r>
              <w:rPr>
                <w:color w:val="13272F"/>
                <w:sz w:val="17"/>
                <w:szCs w:val="17"/>
              </w:rPr>
              <w:t xml:space="preserve"> Derived from PubMed Central Open Access, which is a </w:t>
            </w:r>
            <w:r>
              <w:rPr>
                <w:i/>
                <w:iCs/>
                <w:color w:val="13272F"/>
                <w:sz w:val="17"/>
                <w:szCs w:val="17"/>
              </w:rPr>
              <w:t xml:space="preserve">mix</w:t>
            </w:r>
            <w:r>
              <w:rPr>
                <w:color w:val="13272F"/>
                <w:sz w:val="17"/>
                <w:szCs w:val="17"/>
              </w:rPr>
              <w:t xml:space="preserve"> of licences — some articles are </w:t>
            </w:r>
            <w:r>
              <w:rPr>
                <w:b/>
                <w:bCs/>
                <w:color w:val="13272F"/>
                <w:sz w:val="17"/>
                <w:szCs w:val="17"/>
              </w:rPr>
              <w:t xml:space="preserve">CC-BY-NC (non-commercial)</w:t>
            </w:r>
            <w:r>
              <w:rPr>
                <w:color w:val="13272F"/>
                <w:sz w:val="17"/>
                <w:szCs w:val="17"/>
              </w:rPr>
              <w:t xml:space="preserve">. You must filter per-article, not per-dataset.</w:t>
            </w:r>
          </w:p>
        </w:tc>
      </w:tr>
      <w:tr>
        <w:trPr>
          <w:tblHeader w:val="false"/>
        </w:trPr>
        <w:tc>
          <w:tcPr>
            <w:tcW w:type="dxa" w:w="1350"/>
            <w:shd w:fill="F7FAFB" w:val="clear"/>
            <w:tcMar>
              <w:top w:type="dxa" w:w="70"/>
              <w:left w:type="dxa" w:w="110"/>
              <w:bottom w:type="dxa" w:w="70"/>
              <w:right w:type="dxa" w:w="110"/>
            </w:tcMar>
          </w:tcPr>
          <w:p>
            <w:pPr>
              <w:spacing w:after="0" w:before="0"/>
            </w:pPr>
            <w:r>
              <w:rPr>
                <w:b/>
                <w:bCs/>
                <w:color w:val="13272F"/>
                <w:sz w:val="17"/>
                <w:szCs w:val="17"/>
              </w:rPr>
              <w:t xml:space="preserve">Synthea</w:t>
            </w:r>
          </w:p>
        </w:tc>
        <w:tc>
          <w:tcPr>
            <w:tcW w:type="dxa" w:w="8010"/>
            <w:shd w:fill="F7FAFB" w:val="clear"/>
            <w:tcMar>
              <w:top w:type="dxa" w:w="70"/>
              <w:left w:type="dxa" w:w="110"/>
              <w:bottom w:type="dxa" w:w="70"/>
              <w:right w:type="dxa" w:w="110"/>
            </w:tcMar>
          </w:tcPr>
          <w:p>
            <w:pPr>
              <w:spacing w:after="0" w:before="0"/>
            </w:pPr>
            <w:r>
              <w:rPr>
                <w:color w:val="13272F"/>
                <w:sz w:val="17"/>
                <w:szCs w:val="17"/>
              </w:rPr>
              <w:t xml:space="preserve">Apache-2.0 in general — commercial-friendly. Verify.</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MIMIC-III / IV</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 PhysioNet credentialed access with a Data Use Agreement that restricts redistribution. </w:t>
            </w:r>
            <w:r>
              <w:rPr>
                <w:b/>
                <w:bCs/>
                <w:color w:val="13272F"/>
                <w:sz w:val="17"/>
                <w:szCs w:val="17"/>
              </w:rPr>
              <w:t xml:space="preserve">Treat as unusable for a commercial product</w:t>
            </w:r>
            <w:r>
              <w:rPr>
                <w:color w:val="13272F"/>
                <w:sz w:val="17"/>
                <w:szCs w:val="17"/>
              </w:rPr>
              <w:t xml:space="preserve"> unless you have specific written clarity.</w:t>
            </w:r>
          </w:p>
        </w:tc>
      </w:tr>
    </w:tbl>
    <w:p>
      <w:pPr>
        <w:spacing w:after="160"/>
      </w:pPr>
    </w:p>
    <w:p>
      <w:pPr>
        <w:spacing w:after="120" w:before="60" w:line="300"/>
      </w:pPr>
      <w:r>
        <w:rPr>
          <w:b/>
          <w:bCs/>
          <w:color w:val="13272F"/>
          <w:sz w:val="20"/>
          <w:szCs w:val="20"/>
        </w:rPr>
        <w:t xml:space="preserve">I am not asserting the current licence of any of these — verify each yourself, and keep a record.</w:t>
      </w:r>
      <w:r>
        <w:rPr>
          <w:color w:val="13272F"/>
          <w:sz w:val="20"/>
          <w:szCs w:val="20"/>
        </w:rPr>
        <w:t xml:space="preserve"> Licences change, and "I read it on a forum" is not a defence.</w:t>
      </w:r>
    </w:p>
    <w:p>
      <w:pPr>
        <w:spacing w:after="120" w:before="60" w:line="300"/>
      </w:pPr>
      <w:r>
        <w:rPr>
          <w:b/>
          <w:bCs/>
          <w:color w:val="13272F"/>
          <w:sz w:val="20"/>
          <w:szCs w:val="20"/>
        </w:rPr>
        <w:t xml:space="preserve">Concrete recommendations:</w:t>
      </w:r>
    </w:p>
    <w:p>
      <w:pPr>
        <w:pStyle w:val="ListParagraph"/>
        <w:numPr>
          <w:ilvl w:val="0"/>
          <w:numId w:val="2"/>
        </w:numPr>
        <w:spacing w:after="40" w:before="40" w:line="280"/>
      </w:pPr>
      <w:r>
        <w:rPr>
          <w:color w:val="13272F"/>
          <w:sz w:val="20"/>
          <w:szCs w:val="20"/>
        </w:rPr>
        <w:t xml:space="preserve">Add a </w:t>
      </w:r>
      <w:r>
        <w:rPr>
          <w:rFonts w:ascii="Consolas" w:cs="Consolas" w:eastAsia="Consolas" w:hAnsi="Consolas"/>
          <w:color w:val="B3651F"/>
          <w:sz w:val="18"/>
          <w:szCs w:val="18"/>
        </w:rPr>
        <w:t xml:space="preserve">licence</w:t>
      </w:r>
      <w:r>
        <w:rPr>
          <w:color w:val="13272F"/>
          <w:sz w:val="20"/>
          <w:szCs w:val="20"/>
        </w:rPr>
        <w:t xml:space="preserve"> and </w:t>
      </w:r>
      <w:r>
        <w:rPr>
          <w:rFonts w:ascii="Consolas" w:cs="Consolas" w:eastAsia="Consolas" w:hAnsi="Consolas"/>
          <w:color w:val="B3651F"/>
          <w:sz w:val="18"/>
          <w:szCs w:val="18"/>
        </w:rPr>
        <w:t xml:space="preserve">commercial_use_permitted</w:t>
      </w:r>
      <w:r>
        <w:rPr>
          <w:color w:val="13272F"/>
          <w:sz w:val="20"/>
          <w:szCs w:val="20"/>
        </w:rPr>
        <w:t xml:space="preserve"> field to the source-connector configuration</w:t>
      </w:r>
    </w:p>
    <w:p>
      <w:pPr>
        <w:pStyle w:val="ListParagraph"/>
        <w:numPr>
          <w:ilvl w:val="0"/>
          <w:numId w:val="2"/>
        </w:numPr>
        <w:spacing w:after="40" w:before="40" w:line="280"/>
      </w:pPr>
      <w:r>
        <w:rPr>
          <w:color w:val="13272F"/>
          <w:sz w:val="20"/>
          <w:szCs w:val="20"/>
        </w:rPr>
        <w:t xml:space="preserve">Make the Case Factory </w:t>
      </w:r>
      <w:r>
        <w:rPr>
          <w:b/>
          <w:bCs/>
          <w:color w:val="13272F"/>
          <w:sz w:val="20"/>
          <w:szCs w:val="20"/>
        </w:rPr>
        <w:t xml:space="preserve">refuse</w:t>
      </w:r>
      <w:r>
        <w:rPr>
          <w:color w:val="13272F"/>
          <w:sz w:val="20"/>
          <w:szCs w:val="20"/>
        </w:rPr>
        <w:t xml:space="preserve"> to publish a case derived from a source not marked commercial-safe</w:t>
      </w:r>
    </w:p>
    <w:p>
      <w:pPr>
        <w:pStyle w:val="ListParagraph"/>
        <w:numPr>
          <w:ilvl w:val="0"/>
          <w:numId w:val="2"/>
        </w:numPr>
        <w:spacing w:after="40" w:before="40" w:line="280"/>
      </w:pPr>
      <w:r>
        <w:rPr>
          <w:color w:val="13272F"/>
          <w:sz w:val="20"/>
          <w:szCs w:val="20"/>
        </w:rPr>
        <w:t xml:space="preserve">Store </w:t>
      </w:r>
      <w:r>
        <w:rPr>
          <w:rFonts w:ascii="Consolas" w:cs="Consolas" w:eastAsia="Consolas" w:hAnsi="Consolas"/>
          <w:color w:val="B3651F"/>
          <w:sz w:val="18"/>
          <w:szCs w:val="18"/>
        </w:rPr>
        <w:t xml:space="preserve">source_dataset</w:t>
      </w:r>
      <w:r>
        <w:rPr>
          <w:color w:val="13272F"/>
          <w:sz w:val="20"/>
          <w:szCs w:val="20"/>
        </w:rPr>
        <w:t xml:space="preserve"> and </w:t>
      </w:r>
      <w:r>
        <w:rPr>
          <w:rFonts w:ascii="Consolas" w:cs="Consolas" w:eastAsia="Consolas" w:hAnsi="Consolas"/>
          <w:color w:val="B3651F"/>
          <w:sz w:val="18"/>
          <w:szCs w:val="18"/>
        </w:rPr>
        <w:t xml:space="preserve">source_record_id</w:t>
      </w:r>
      <w:r>
        <w:rPr>
          <w:color w:val="13272F"/>
          <w:sz w:val="20"/>
          <w:szCs w:val="20"/>
        </w:rPr>
        <w:t xml:space="preserve"> on every generated case (already in the v1 schema) — this is your audit trail if a licence question arises</w:t>
      </w:r>
    </w:p>
    <w:p>
      <w:pPr>
        <w:pStyle w:val="ListParagraph"/>
        <w:numPr>
          <w:ilvl w:val="0"/>
          <w:numId w:val="2"/>
        </w:numPr>
        <w:spacing w:after="40" w:before="40" w:line="280"/>
      </w:pPr>
      <w:r>
        <w:rPr>
          <w:color w:val="13272F"/>
          <w:sz w:val="20"/>
          <w:szCs w:val="20"/>
        </w:rPr>
        <w:t xml:space="preserve">Start with the most permissive source only</w:t>
      </w:r>
    </w:p>
    <w:p>
      <w:pPr>
        <w:pStyle w:val="Heading2"/>
        <w:spacing w:after="130" w:before="300"/>
      </w:pPr>
      <w:r>
        <w:rPr>
          <w:rFonts w:ascii="Georgia" w:cs="Georgia" w:eastAsia="Georgia" w:hAnsi="Georgia"/>
          <w:b/>
          <w:bCs/>
          <w:color w:val="1F7A8C"/>
          <w:sz w:val="25"/>
          <w:szCs w:val="25"/>
        </w:rPr>
        <w:t xml:space="preserve">9.2 Data protection</w:t>
      </w:r>
    </w:p>
    <w:p>
      <w:pPr>
        <w:spacing w:after="120" w:before="60" w:line="300"/>
      </w:pPr>
      <w:r>
        <w:rPr>
          <w:color w:val="13272F"/>
          <w:sz w:val="20"/>
          <w:szCs w:val="20"/>
        </w:rPr>
        <w:t xml:space="preserve">You will hold identifiable data about medical professionals, potentially across jurisdictions.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82"/>
        <w:gridCol w:w="7478"/>
      </w:tblGrid>
      <w:tr>
        <w:trPr>
          <w:tblHeader/>
        </w:trPr>
        <w:tc>
          <w:tcPr>
            <w:tcW w:type="dxa" w:w="1882"/>
            <w:shd w:fill="13272F" w:val="clear"/>
            <w:tcMar>
              <w:top w:type="dxa" w:w="70"/>
              <w:left w:type="dxa" w:w="110"/>
              <w:bottom w:type="dxa" w:w="70"/>
              <w:right w:type="dxa" w:w="110"/>
            </w:tcMar>
          </w:tcPr>
          <w:p>
            <w:pPr>
              <w:spacing w:after="0" w:before="0"/>
            </w:pPr>
            <w:r>
              <w:rPr>
                <w:b/>
                <w:bCs/>
                <w:color w:val="FFFFFF"/>
                <w:sz w:val="17"/>
                <w:szCs w:val="17"/>
              </w:rPr>
              <w:t xml:space="preserve">Obligation</w:t>
            </w:r>
          </w:p>
        </w:tc>
        <w:tc>
          <w:tcPr>
            <w:tcW w:type="dxa" w:w="7478"/>
            <w:shd w:fill="13272F" w:val="clear"/>
            <w:tcMar>
              <w:top w:type="dxa" w:w="70"/>
              <w:left w:type="dxa" w:w="110"/>
              <w:bottom w:type="dxa" w:w="70"/>
              <w:right w:type="dxa" w:w="110"/>
            </w:tcMar>
          </w:tcPr>
          <w:p>
            <w:pPr>
              <w:spacing w:after="0" w:before="0"/>
            </w:pPr>
            <w:r>
              <w:rPr>
                <w:b/>
                <w:bCs/>
                <w:color w:val="FFFFFF"/>
                <w:sz w:val="17"/>
                <w:szCs w:val="17"/>
              </w:rPr>
              <w:t xml:space="preserve">What it means practically</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Privacy policy</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Required by both app stores. Must be specific about the LLM: </w:t>
            </w:r>
            <w:r>
              <w:rPr>
                <w:b/>
                <w:bCs/>
                <w:color w:val="13272F"/>
                <w:sz w:val="17"/>
                <w:szCs w:val="17"/>
              </w:rPr>
              <w:t xml:space="preserve">user-typed questions are sent to a third-party model provider.</w:t>
            </w:r>
            <w:r>
              <w:rPr>
                <w:color w:val="13272F"/>
                <w:sz w:val="17"/>
                <w:szCs w:val="17"/>
              </w:rPr>
              <w:t xml:space="preserve"> Users must be told.</w:t>
            </w:r>
          </w:p>
        </w:tc>
      </w:tr>
      <w:tr>
        <w:trPr>
          <w:tblHeader w:val="false"/>
        </w:trPr>
        <w:tc>
          <w:tcPr>
            <w:tcW w:type="dxa" w:w="1882"/>
            <w:shd w:fill="F7FAFB" w:val="clear"/>
            <w:tcMar>
              <w:top w:type="dxa" w:w="70"/>
              <w:left w:type="dxa" w:w="110"/>
              <w:bottom w:type="dxa" w:w="70"/>
              <w:right w:type="dxa" w:w="110"/>
            </w:tcMar>
          </w:tcPr>
          <w:p>
            <w:pPr>
              <w:spacing w:after="0" w:before="0"/>
            </w:pPr>
            <w:r>
              <w:rPr>
                <w:color w:val="13272F"/>
                <w:sz w:val="17"/>
                <w:szCs w:val="17"/>
              </w:rPr>
              <w:t xml:space="preserve">Data processing terms with providers</w:t>
            </w:r>
          </w:p>
        </w:tc>
        <w:tc>
          <w:tcPr>
            <w:tcW w:type="dxa" w:w="7478"/>
            <w:shd w:fill="F7FAFB" w:val="clear"/>
            <w:tcMar>
              <w:top w:type="dxa" w:w="70"/>
              <w:left w:type="dxa" w:w="110"/>
              <w:bottom w:type="dxa" w:w="70"/>
              <w:right w:type="dxa" w:w="110"/>
            </w:tcMar>
          </w:tcPr>
          <w:p>
            <w:pPr>
              <w:spacing w:after="0" w:before="0"/>
            </w:pPr>
            <w:r>
              <w:rPr>
                <w:color w:val="13272F"/>
                <w:sz w:val="17"/>
                <w:szCs w:val="17"/>
              </w:rPr>
              <w:t xml:space="preserve">Check whether your LLM provider trains on API data by default. Use the no-training tier.</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Right to access / delete</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Build export and delete now — retrofitting is painful. §v1 3.7</w:t>
            </w:r>
          </w:p>
        </w:tc>
      </w:tr>
      <w:tr>
        <w:trPr>
          <w:tblHeader w:val="false"/>
        </w:trPr>
        <w:tc>
          <w:tcPr>
            <w:tcW w:type="dxa" w:w="1882"/>
            <w:shd w:fill="F7FAFB" w:val="clear"/>
            <w:tcMar>
              <w:top w:type="dxa" w:w="70"/>
              <w:left w:type="dxa" w:w="110"/>
              <w:bottom w:type="dxa" w:w="70"/>
              <w:right w:type="dxa" w:w="110"/>
            </w:tcMar>
          </w:tcPr>
          <w:p>
            <w:pPr>
              <w:spacing w:after="0" w:before="0"/>
            </w:pPr>
            <w:r>
              <w:rPr>
                <w:color w:val="13272F"/>
                <w:sz w:val="17"/>
                <w:szCs w:val="17"/>
              </w:rPr>
              <w:t xml:space="preserve">Data residency</w:t>
            </w:r>
          </w:p>
        </w:tc>
        <w:tc>
          <w:tcPr>
            <w:tcW w:type="dxa" w:w="7478"/>
            <w:shd w:fill="F7FAFB" w:val="clear"/>
            <w:tcMar>
              <w:top w:type="dxa" w:w="70"/>
              <w:left w:type="dxa" w:w="110"/>
              <w:bottom w:type="dxa" w:w="70"/>
              <w:right w:type="dxa" w:w="110"/>
            </w:tcMar>
          </w:tcPr>
          <w:p>
            <w:pPr>
              <w:spacing w:after="0" w:before="0"/>
            </w:pPr>
            <w:r>
              <w:rPr>
                <w:color w:val="13272F"/>
                <w:sz w:val="17"/>
                <w:szCs w:val="17"/>
              </w:rPr>
              <w:t xml:space="preserve">If you take EU users and want to keep it simple, host in an EU region from the start</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Age</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Users are professionals — set a minimum age of 18 in the terms and avoid the entire minors regime</w:t>
            </w:r>
          </w:p>
        </w:tc>
      </w:tr>
    </w:tbl>
    <w:p>
      <w:pPr>
        <w:spacing w:after="160"/>
      </w:pPr>
    </w:p>
    <w:p>
      <w:pPr>
        <w:spacing w:after="120" w:before="60" w:line="300"/>
      </w:pPr>
      <w:r>
        <w:rPr>
          <w:b/>
          <w:bCs/>
          <w:color w:val="13272F"/>
          <w:sz w:val="20"/>
          <w:szCs w:val="20"/>
        </w:rPr>
        <w:t xml:space="preserve">The LLM disclosure is the one most often missed.</w:t>
      </w:r>
      <w:r>
        <w:rPr>
          <w:color w:val="13272F"/>
          <w:sz w:val="20"/>
          <w:szCs w:val="20"/>
        </w:rPr>
        <w:t xml:space="preserve"> Sending user text to a third party is a processing activity that must be disclosed.</w:t>
      </w:r>
    </w:p>
    <w:p>
      <w:pPr>
        <w:pStyle w:val="Heading2"/>
        <w:spacing w:after="130" w:before="300"/>
      </w:pPr>
      <w:r>
        <w:rPr>
          <w:rFonts w:ascii="Georgia" w:cs="Georgia" w:eastAsia="Georgia" w:hAnsi="Georgia"/>
          <w:b/>
          <w:bCs/>
          <w:color w:val="1F7A8C"/>
          <w:sz w:val="25"/>
          <w:szCs w:val="25"/>
        </w:rPr>
        <w:t xml:space="preserve">9.3 Medical liability positioning</w:t>
      </w:r>
    </w:p>
    <w:p>
      <w:pPr>
        <w:spacing w:after="120" w:before="60" w:line="300"/>
      </w:pPr>
      <w:r>
        <w:rPr>
          <w:color w:val="13272F"/>
          <w:sz w:val="20"/>
          <w:szCs w:val="20"/>
        </w:rPr>
        <w:t xml:space="preserve">This matters and is cheap to get right.</w:t>
      </w:r>
    </w:p>
    <w:p>
      <w:pPr>
        <w:spacing w:after="120" w:before="60" w:line="300"/>
      </w:pPr>
      <w:r>
        <w:rPr>
          <w:b/>
          <w:bCs/>
          <w:color w:val="13272F"/>
          <w:sz w:val="20"/>
          <w:szCs w:val="20"/>
        </w:rPr>
        <w:t xml:space="preserve">What VPSim is:</w:t>
      </w:r>
      <w:r>
        <w:rPr>
          <w:color w:val="13272F"/>
          <w:sz w:val="20"/>
          <w:szCs w:val="20"/>
        </w:rPr>
        <w:t xml:space="preserve"> an educational simulator using synthetic patients, for training clinical reasoning.</w:t>
      </w:r>
    </w:p>
    <w:p>
      <w:pPr>
        <w:spacing w:after="120" w:before="60" w:line="300"/>
      </w:pPr>
      <w:r>
        <w:rPr>
          <w:b/>
          <w:bCs/>
          <w:color w:val="13272F"/>
          <w:sz w:val="20"/>
          <w:szCs w:val="20"/>
        </w:rPr>
        <w:t xml:space="preserve">What VPSim is not:</w:t>
      </w:r>
      <w:r>
        <w:rPr>
          <w:color w:val="13272F"/>
          <w:sz w:val="20"/>
          <w:szCs w:val="20"/>
        </w:rPr>
        <w:t xml:space="preserve"> a diagnostic aid, a clinical decision support tool, or a source of medical guidance.</w:t>
      </w:r>
    </w:p>
    <w:p>
      <w:pPr>
        <w:spacing w:after="120" w:before="60" w:line="300"/>
      </w:pPr>
      <w:r>
        <w:rPr>
          <w:color w:val="13272F"/>
          <w:sz w:val="20"/>
          <w:szCs w:val="20"/>
        </w:rPr>
        <w:t xml:space="preserve">That distinction is what keeps you outside medical-device regulation. Protect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708"/>
        <w:gridCol w:w="5652"/>
      </w:tblGrid>
      <w:tr>
        <w:trPr>
          <w:tblHeader/>
        </w:trPr>
        <w:tc>
          <w:tcPr>
            <w:tcW w:type="dxa" w:w="3708"/>
            <w:shd w:fill="13272F" w:val="clear"/>
            <w:tcMar>
              <w:top w:type="dxa" w:w="70"/>
              <w:left w:type="dxa" w:w="110"/>
              <w:bottom w:type="dxa" w:w="70"/>
              <w:right w:type="dxa" w:w="110"/>
            </w:tcMar>
          </w:tcPr>
          <w:p>
            <w:pPr>
              <w:spacing w:after="0" w:before="0"/>
            </w:pPr>
            <w:r>
              <w:rPr>
                <w:b/>
                <w:bCs/>
                <w:color w:val="FFFFFF"/>
                <w:sz w:val="17"/>
                <w:szCs w:val="17"/>
              </w:rPr>
              <w:t xml:space="preserve">Do</w:t>
            </w:r>
          </w:p>
        </w:tc>
        <w:tc>
          <w:tcPr>
            <w:tcW w:type="dxa" w:w="5652"/>
            <w:shd w:fill="13272F" w:val="clear"/>
            <w:tcMar>
              <w:top w:type="dxa" w:w="70"/>
              <w:left w:type="dxa" w:w="110"/>
              <w:bottom w:type="dxa" w:w="70"/>
              <w:right w:type="dxa" w:w="110"/>
            </w:tcMar>
          </w:tcPr>
          <w:p>
            <w:pPr>
              <w:spacing w:after="0" w:before="0"/>
            </w:pPr>
            <w:r>
              <w:rPr>
                <w:b/>
                <w:bCs/>
                <w:color w:val="FFFFFF"/>
                <w:sz w:val="17"/>
                <w:szCs w:val="17"/>
              </w:rPr>
              <w:t xml:space="preserve">Do not</w:t>
            </w:r>
          </w:p>
        </w:tc>
      </w:tr>
      <w:tr>
        <w:trPr>
          <w:tblHeader w:val="false"/>
        </w:trPr>
        <w:tc>
          <w:tcPr>
            <w:tcW w:type="dxa" w:w="3708"/>
            <w:shd w:fill="FFFFFF" w:val="clear"/>
            <w:tcMar>
              <w:top w:type="dxa" w:w="70"/>
              <w:left w:type="dxa" w:w="110"/>
              <w:bottom w:type="dxa" w:w="70"/>
              <w:right w:type="dxa" w:w="110"/>
            </w:tcMar>
          </w:tcPr>
          <w:p>
            <w:pPr>
              <w:spacing w:after="0" w:before="0"/>
            </w:pPr>
            <w:r>
              <w:rPr>
                <w:color w:val="13272F"/>
                <w:sz w:val="17"/>
                <w:szCs w:val="17"/>
              </w:rPr>
              <w:t xml:space="preserve">Say "educational simulation" everywhere</w:t>
            </w:r>
          </w:p>
        </w:tc>
        <w:tc>
          <w:tcPr>
            <w:tcW w:type="dxa" w:w="5652"/>
            <w:shd w:fill="FFFFFF" w:val="clear"/>
            <w:tcMar>
              <w:top w:type="dxa" w:w="70"/>
              <w:left w:type="dxa" w:w="110"/>
              <w:bottom w:type="dxa" w:w="70"/>
              <w:right w:type="dxa" w:w="110"/>
            </w:tcMar>
          </w:tcPr>
          <w:p>
            <w:pPr>
              <w:spacing w:after="0" w:before="0"/>
            </w:pPr>
            <w:r>
              <w:rPr>
                <w:color w:val="13272F"/>
                <w:sz w:val="17"/>
                <w:szCs w:val="17"/>
              </w:rPr>
              <w:t xml:space="preserve">Claim to improve real-world diagnostic accuracy without evidence</w:t>
            </w:r>
          </w:p>
        </w:tc>
      </w:tr>
      <w:tr>
        <w:trPr>
          <w:tblHeader w:val="false"/>
        </w:trPr>
        <w:tc>
          <w:tcPr>
            <w:tcW w:type="dxa" w:w="3708"/>
            <w:shd w:fill="F7FAFB" w:val="clear"/>
            <w:tcMar>
              <w:top w:type="dxa" w:w="70"/>
              <w:left w:type="dxa" w:w="110"/>
              <w:bottom w:type="dxa" w:w="70"/>
              <w:right w:type="dxa" w:w="110"/>
            </w:tcMar>
          </w:tcPr>
          <w:p>
            <w:pPr>
              <w:spacing w:after="0" w:before="0"/>
            </w:pPr>
            <w:r>
              <w:rPr>
                <w:color w:val="13272F"/>
                <w:sz w:val="17"/>
                <w:szCs w:val="17"/>
              </w:rPr>
              <w:t xml:space="preserve">State clearly that cases are synthetic</w:t>
            </w:r>
          </w:p>
        </w:tc>
        <w:tc>
          <w:tcPr>
            <w:tcW w:type="dxa" w:w="5652"/>
            <w:shd w:fill="F7FAFB" w:val="clear"/>
            <w:tcMar>
              <w:top w:type="dxa" w:w="70"/>
              <w:left w:type="dxa" w:w="110"/>
              <w:bottom w:type="dxa" w:w="70"/>
              <w:right w:type="dxa" w:w="110"/>
            </w:tcMar>
          </w:tcPr>
          <w:p>
            <w:pPr>
              <w:spacing w:after="0" w:before="0"/>
            </w:pPr>
            <w:r>
              <w:rPr>
                <w:color w:val="13272F"/>
                <w:sz w:val="17"/>
                <w:szCs w:val="17"/>
              </w:rPr>
              <w:t xml:space="preserve">Let users enter real patient details — actively discourage it</w:t>
            </w:r>
          </w:p>
        </w:tc>
      </w:tr>
      <w:tr>
        <w:trPr>
          <w:tblHeader w:val="false"/>
        </w:trPr>
        <w:tc>
          <w:tcPr>
            <w:tcW w:type="dxa" w:w="3708"/>
            <w:shd w:fill="FFFFFF" w:val="clear"/>
            <w:tcMar>
              <w:top w:type="dxa" w:w="70"/>
              <w:left w:type="dxa" w:w="110"/>
              <w:bottom w:type="dxa" w:w="70"/>
              <w:right w:type="dxa" w:w="110"/>
            </w:tcMar>
          </w:tcPr>
          <w:p>
            <w:pPr>
              <w:spacing w:after="0" w:before="0"/>
            </w:pPr>
            <w:r>
              <w:rPr>
                <w:color w:val="13272F"/>
                <w:sz w:val="17"/>
                <w:szCs w:val="17"/>
              </w:rPr>
              <w:t xml:space="preserve">Disclaimer at signup and in the app footer</w:t>
            </w:r>
          </w:p>
        </w:tc>
        <w:tc>
          <w:tcPr>
            <w:tcW w:type="dxa" w:w="5652"/>
            <w:shd w:fill="FFFFFF" w:val="clear"/>
            <w:tcMar>
              <w:top w:type="dxa" w:w="70"/>
              <w:left w:type="dxa" w:w="110"/>
              <w:bottom w:type="dxa" w:w="70"/>
              <w:right w:type="dxa" w:w="110"/>
            </w:tcMar>
          </w:tcPr>
          <w:p>
            <w:pPr>
              <w:spacing w:after="0" w:before="0"/>
            </w:pPr>
            <w:r>
              <w:rPr>
                <w:color w:val="13272F"/>
                <w:sz w:val="17"/>
                <w:szCs w:val="17"/>
              </w:rPr>
              <w:t xml:space="preserve">Imply the feedback is clinically authoritative</w:t>
            </w:r>
          </w:p>
        </w:tc>
      </w:tr>
      <w:tr>
        <w:trPr>
          <w:tblHeader w:val="false"/>
        </w:trPr>
        <w:tc>
          <w:tcPr>
            <w:tcW w:type="dxa" w:w="3708"/>
            <w:shd w:fill="F7FAFB" w:val="clear"/>
            <w:tcMar>
              <w:top w:type="dxa" w:w="70"/>
              <w:left w:type="dxa" w:w="110"/>
              <w:bottom w:type="dxa" w:w="70"/>
              <w:right w:type="dxa" w:w="110"/>
            </w:tcMar>
          </w:tcPr>
          <w:p>
            <w:pPr>
              <w:spacing w:after="0" w:before="0"/>
            </w:pPr>
            <w:r>
              <w:rPr>
                <w:color w:val="13272F"/>
                <w:sz w:val="17"/>
                <w:szCs w:val="17"/>
              </w:rPr>
              <w:t xml:space="preserve">Keep the clinical review record (§4.4)</w:t>
            </w:r>
          </w:p>
        </w:tc>
        <w:tc>
          <w:tcPr>
            <w:tcW w:type="dxa" w:w="5652"/>
            <w:shd w:fill="F7FAFB" w:val="clear"/>
            <w:tcMar>
              <w:top w:type="dxa" w:w="70"/>
              <w:left w:type="dxa" w:w="110"/>
              <w:bottom w:type="dxa" w:w="70"/>
              <w:right w:type="dxa" w:w="110"/>
            </w:tcMar>
          </w:tcPr>
          <w:p>
            <w:pPr>
              <w:spacing w:after="0" w:before="0"/>
            </w:pPr>
            <w:r>
              <w:rPr>
                <w:color w:val="13272F"/>
                <w:sz w:val="17"/>
                <w:szCs w:val="17"/>
              </w:rPr>
              <w:t xml:space="preserve">Publish cases without clinician sign-off</w:t>
            </w:r>
          </w:p>
        </w:tc>
      </w:tr>
    </w:tbl>
    <w:p>
      <w:pPr>
        <w:spacing w:after="160"/>
      </w:pPr>
    </w:p>
    <w:p>
      <w:pPr>
        <w:spacing w:after="120" w:before="60" w:line="300"/>
      </w:pPr>
      <w:r>
        <w:rPr>
          <w:b/>
          <w:bCs/>
          <w:color w:val="13272F"/>
          <w:sz w:val="20"/>
          <w:szCs w:val="20"/>
        </w:rPr>
        <w:t xml:space="preserve">Add an input guardrail:</w:t>
      </w:r>
      <w:r>
        <w:rPr>
          <w:color w:val="13272F"/>
          <w:sz w:val="20"/>
          <w:szCs w:val="20"/>
        </w:rPr>
        <w:t xml:space="preserve"> detect and block anything that looks like real patient data being pasted into the question box. Users will try. A short warning plus refusal is enough, and it materially reduces your exposure.</w:t>
      </w:r>
    </w:p>
    <w:p>
      <w:pPr>
        <w:pStyle w:val="Heading2"/>
        <w:spacing w:after="130" w:before="300"/>
      </w:pPr>
      <w:r>
        <w:rPr>
          <w:rFonts w:ascii="Georgia" w:cs="Georgia" w:eastAsia="Georgia" w:hAnsi="Georgia"/>
          <w:b/>
          <w:bCs/>
          <w:color w:val="1F7A8C"/>
          <w:sz w:val="25"/>
          <w:szCs w:val="25"/>
        </w:rPr>
        <w:t xml:space="preserve">9.4 Formalising your clinical reviewers</w:t>
      </w:r>
    </w:p>
    <w:p>
      <w:pPr>
        <w:spacing w:after="120" w:before="60" w:line="300"/>
      </w:pPr>
      <w:r>
        <w:rPr>
          <w:color w:val="13272F"/>
          <w:sz w:val="20"/>
          <w:szCs w:val="20"/>
        </w:rPr>
        <w:t xml:space="preserve">Your two clinician friends are an asset. Make the arrangement explicit — even informally, in writing:</w:t>
      </w:r>
    </w:p>
    <w:p>
      <w:pPr>
        <w:pStyle w:val="ListParagraph"/>
        <w:numPr>
          <w:ilvl w:val="0"/>
          <w:numId w:val="1"/>
        </w:numPr>
        <w:spacing w:after="40" w:before="40" w:line="280"/>
      </w:pPr>
      <w:r>
        <w:rPr>
          <w:color w:val="13272F"/>
          <w:sz w:val="20"/>
          <w:szCs w:val="20"/>
        </w:rPr>
        <w:t xml:space="preserve">What they are agreeing to review, and to what standard (the rubric in §4.4)</w:t>
      </w:r>
    </w:p>
    <w:p>
      <w:pPr>
        <w:pStyle w:val="ListParagraph"/>
        <w:numPr>
          <w:ilvl w:val="0"/>
          <w:numId w:val="1"/>
        </w:numPr>
        <w:spacing w:after="40" w:before="40" w:line="280"/>
      </w:pPr>
      <w:r>
        <w:rPr>
          <w:color w:val="13272F"/>
          <w:sz w:val="20"/>
          <w:szCs w:val="20"/>
        </w:rPr>
        <w:t xml:space="preserve">That they are reviewing </w:t>
      </w:r>
      <w:r>
        <w:rPr>
          <w:b/>
          <w:bCs/>
          <w:color w:val="13272F"/>
          <w:sz w:val="20"/>
          <w:szCs w:val="20"/>
        </w:rPr>
        <w:t xml:space="preserve">educational content</w:t>
      </w:r>
      <w:r>
        <w:rPr>
          <w:color w:val="13272F"/>
          <w:sz w:val="20"/>
          <w:szCs w:val="20"/>
        </w:rPr>
        <w:t xml:space="preserve">, not providing clinical advice to patients</w:t>
      </w:r>
    </w:p>
    <w:p>
      <w:pPr>
        <w:pStyle w:val="ListParagraph"/>
        <w:numPr>
          <w:ilvl w:val="0"/>
          <w:numId w:val="1"/>
        </w:numPr>
        <w:spacing w:after="40" w:before="40" w:line="280"/>
      </w:pPr>
      <w:r>
        <w:rPr>
          <w:color w:val="13272F"/>
          <w:sz w:val="20"/>
          <w:szCs w:val="20"/>
        </w:rPr>
        <w:t xml:space="preserve">Whether they are credited publicly, and how</w:t>
      </w:r>
    </w:p>
    <w:p>
      <w:pPr>
        <w:pStyle w:val="ListParagraph"/>
        <w:numPr>
          <w:ilvl w:val="0"/>
          <w:numId w:val="1"/>
        </w:numPr>
        <w:spacing w:after="40" w:before="40" w:line="280"/>
      </w:pPr>
      <w:r>
        <w:rPr>
          <w:color w:val="13272F"/>
          <w:sz w:val="20"/>
          <w:szCs w:val="20"/>
        </w:rPr>
        <w:t xml:space="preserve">That the company, not they, carries responsibility for the product</w:t>
      </w:r>
    </w:p>
    <w:p>
      <w:pPr>
        <w:spacing w:after="120" w:before="60" w:line="300"/>
      </w:pPr>
      <w:r>
        <w:rPr>
          <w:color w:val="13272F"/>
          <w:sz w:val="20"/>
          <w:szCs w:val="20"/>
        </w:rPr>
        <w:t xml:space="preserve">This protects them as much as you, and it costs one email. If the product becomes commercial and they are contributing regularly, consider a small equity or payment arrangement — unpaid indefinite obligations between friends reliably go wrong.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Research operations under a commercial product</w:t>
      </w:r>
    </w:p>
    <w:p>
      <w:pPr>
        <w:pStyle w:val="Heading2"/>
        <w:spacing w:after="130" w:before="300"/>
      </w:pPr>
      <w:r>
        <w:rPr>
          <w:rFonts w:ascii="Georgia" w:cs="Georgia" w:eastAsia="Georgia" w:hAnsi="Georgia"/>
          <w:b/>
          <w:bCs/>
          <w:color w:val="1F7A8C"/>
          <w:sz w:val="25"/>
          <w:szCs w:val="25"/>
        </w:rPr>
        <w:t xml:space="preserve">10.1 The tension</w:t>
      </w:r>
    </w:p>
    <w:p>
      <w:pPr>
        <w:spacing w:after="120" w:before="60" w:line="300"/>
      </w:pPr>
      <w:r>
        <w:rPr>
          <w:color w:val="13272F"/>
          <w:sz w:val="20"/>
          <w:szCs w:val="20"/>
        </w:rPr>
        <w:t xml:space="preserve">You now have two goals that pull against each other:</w:t>
      </w:r>
    </w:p>
    <w:p>
      <w:pPr>
        <w:pStyle w:val="ListParagraph"/>
        <w:numPr>
          <w:ilvl w:val="0"/>
          <w:numId w:val="1"/>
        </w:numPr>
        <w:spacing w:after="40" w:before="40" w:line="280"/>
      </w:pPr>
      <w:r>
        <w:rPr>
          <w:b/>
          <w:bCs/>
          <w:color w:val="13272F"/>
          <w:sz w:val="20"/>
          <w:szCs w:val="20"/>
        </w:rPr>
        <w:t xml:space="preserve">Product:</w:t>
      </w:r>
      <w:r>
        <w:rPr>
          <w:color w:val="13272F"/>
          <w:sz w:val="20"/>
          <w:szCs w:val="20"/>
        </w:rPr>
        <w:t xml:space="preserve"> every user should get the best possible experience</w:t>
      </w:r>
    </w:p>
    <w:p>
      <w:pPr>
        <w:pStyle w:val="ListParagraph"/>
        <w:numPr>
          <w:ilvl w:val="0"/>
          <w:numId w:val="1"/>
        </w:numPr>
        <w:spacing w:after="40" w:before="40" w:line="280"/>
      </w:pPr>
      <w:r>
        <w:rPr>
          <w:b/>
          <w:bCs/>
          <w:color w:val="13272F"/>
          <w:sz w:val="20"/>
          <w:szCs w:val="20"/>
        </w:rPr>
        <w:t xml:space="preserve">Research:</w:t>
      </w:r>
      <w:r>
        <w:rPr>
          <w:color w:val="13272F"/>
          <w:sz w:val="20"/>
          <w:szCs w:val="20"/>
        </w:rPr>
        <w:t xml:space="preserve"> to prove the feedback works, some users must receive </w:t>
      </w:r>
      <w:r>
        <w:rPr>
          <w:i/>
          <w:iCs/>
          <w:color w:val="13272F"/>
          <w:sz w:val="20"/>
          <w:szCs w:val="20"/>
        </w:rPr>
        <w:t xml:space="preserve">less</w:t>
      </w:r>
    </w:p>
    <w:p>
      <w:pPr>
        <w:spacing w:after="120" w:before="60" w:line="300"/>
      </w:pPr>
      <w:r>
        <w:rPr>
          <w:color w:val="13272F"/>
          <w:sz w:val="20"/>
          <w:szCs w:val="20"/>
        </w:rPr>
        <w:t xml:space="preserve">You cannot fully satisfy both. But you can handle it well.</w:t>
      </w:r>
    </w:p>
    <w:p>
      <w:pPr>
        <w:pStyle w:val="Heading2"/>
        <w:spacing w:after="130" w:before="300"/>
      </w:pPr>
      <w:r>
        <w:rPr>
          <w:rFonts w:ascii="Georgia" w:cs="Georgia" w:eastAsia="Georgia" w:hAnsi="Georgia"/>
          <w:b/>
          <w:bCs/>
          <w:color w:val="1F7A8C"/>
          <w:sz w:val="25"/>
          <w:szCs w:val="25"/>
        </w:rPr>
        <w:t xml:space="preserve">10.2 What "no-feedback control arm" means — your question</w:t>
      </w:r>
    </w:p>
    <w:p>
      <w:pPr>
        <w:spacing w:after="120" w:before="60" w:line="300"/>
      </w:pPr>
      <w:r>
        <w:rPr>
          <w:color w:val="13272F"/>
          <w:sz w:val="20"/>
          <w:szCs w:val="20"/>
        </w:rPr>
        <w:t xml:space="preserve">You asked what this means. Plainly:</w:t>
      </w:r>
    </w:p>
    <w:p>
      <w:pPr>
        <w:spacing w:after="120" w:before="60" w:line="300"/>
      </w:pPr>
      <w:r>
        <w:rPr>
          <w:b/>
          <w:bCs/>
          <w:color w:val="13272F"/>
          <w:sz w:val="20"/>
          <w:szCs w:val="20"/>
        </w:rPr>
        <w:t xml:space="preserve">The problem.</w:t>
      </w:r>
      <w:r>
        <w:rPr>
          <w:color w:val="13272F"/>
          <w:sz w:val="20"/>
          <w:szCs w:val="20"/>
        </w:rPr>
        <w:t xml:space="preserve"> Your pilot showed history coverage rising from 45.3 % to 79.7 % after feedback. But every participant received feedback. So you cannot distinguish:</w:t>
      </w:r>
    </w:p>
    <w:p>
      <w:pPr>
        <w:pStyle w:val="ListParagraph"/>
        <w:numPr>
          <w:ilvl w:val="0"/>
          <w:numId w:val="1"/>
        </w:numPr>
        <w:spacing w:after="40" w:before="40" w:line="280"/>
      </w:pPr>
      <w:r>
        <w:rPr>
          <w:color w:val="13272F"/>
          <w:sz w:val="20"/>
          <w:szCs w:val="20"/>
        </w:rPr>
        <w:t xml:space="preserve">(a) the feedback taught them something, or</w:t>
      </w:r>
    </w:p>
    <w:p>
      <w:pPr>
        <w:pStyle w:val="ListParagraph"/>
        <w:numPr>
          <w:ilvl w:val="0"/>
          <w:numId w:val="1"/>
        </w:numPr>
        <w:spacing w:after="40" w:before="40" w:line="280"/>
      </w:pPr>
      <w:r>
        <w:rPr>
          <w:color w:val="13272F"/>
          <w:sz w:val="20"/>
          <w:szCs w:val="20"/>
        </w:rPr>
        <w:t xml:space="preserve">(b) they simply got better at the task the second time — practice, familiarity with the interface, knowing what to expect</w:t>
      </w:r>
    </w:p>
    <w:p>
      <w:pPr>
        <w:spacing w:after="120" w:before="60" w:line="300"/>
      </w:pPr>
      <w:r>
        <w:rPr>
          <w:color w:val="13272F"/>
          <w:sz w:val="20"/>
          <w:szCs w:val="20"/>
        </w:rPr>
        <w:t xml:space="preserve">Both explanations fit your data equally well. This is why your report honestly states you cannot claim causation.</w:t>
      </w:r>
    </w:p>
    <w:p>
      <w:pPr>
        <w:spacing w:after="120" w:before="60" w:line="300"/>
      </w:pPr>
      <w:r>
        <w:rPr>
          <w:b/>
          <w:bCs/>
          <w:color w:val="13272F"/>
          <w:sz w:val="20"/>
          <w:szCs w:val="20"/>
        </w:rPr>
        <w:t xml:space="preserve">The fix.</w:t>
      </w:r>
      <w:r>
        <w:rPr>
          <w:color w:val="13272F"/>
          <w:sz w:val="20"/>
          <w:szCs w:val="20"/>
        </w:rPr>
        <w:t xml:space="preserve"> Split participants into two groups: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77"/>
        <w:gridCol w:w="1657"/>
        <w:gridCol w:w="5169"/>
        <w:gridCol w:w="1657"/>
      </w:tblGrid>
      <w:tr>
        <w:trPr>
          <w:tblHeader/>
        </w:trPr>
        <w:tc>
          <w:tcPr>
            <w:tcW w:type="dxa" w:w="877"/>
            <w:shd w:fill="13272F" w:val="clear"/>
            <w:tcMar>
              <w:top w:type="dxa" w:w="70"/>
              <w:left w:type="dxa" w:w="110"/>
              <w:bottom w:type="dxa" w:w="70"/>
              <w:right w:type="dxa" w:w="110"/>
            </w:tcMar>
          </w:tcPr>
          <w:p>
            <w:pPr>
              <w:spacing w:after="0" w:before="0"/>
            </w:pPr>
            <w:r>
              <w:rPr>
                <w:b/>
                <w:bCs/>
                <w:color w:val="FFFFFF"/>
                <w:sz w:val="17"/>
                <w:szCs w:val="17"/>
              </w:rPr>
              <w:t xml:space="preserve">Group</w:t>
            </w:r>
          </w:p>
        </w:tc>
        <w:tc>
          <w:tcPr>
            <w:tcW w:type="dxa" w:w="1657"/>
            <w:shd w:fill="13272F" w:val="clear"/>
            <w:tcMar>
              <w:top w:type="dxa" w:w="70"/>
              <w:left w:type="dxa" w:w="110"/>
              <w:bottom w:type="dxa" w:w="70"/>
              <w:right w:type="dxa" w:w="110"/>
            </w:tcMar>
          </w:tcPr>
          <w:p>
            <w:pPr>
              <w:spacing w:after="0" w:before="0"/>
            </w:pPr>
            <w:r>
              <w:rPr>
                <w:b/>
                <w:bCs/>
                <w:color w:val="FFFFFF"/>
                <w:sz w:val="17"/>
                <w:szCs w:val="17"/>
              </w:rPr>
              <w:t xml:space="preserve">Case 1</w:t>
            </w:r>
          </w:p>
        </w:tc>
        <w:tc>
          <w:tcPr>
            <w:tcW w:type="dxa" w:w="5169"/>
            <w:shd w:fill="13272F" w:val="clear"/>
            <w:tcMar>
              <w:top w:type="dxa" w:w="70"/>
              <w:left w:type="dxa" w:w="110"/>
              <w:bottom w:type="dxa" w:w="70"/>
              <w:right w:type="dxa" w:w="110"/>
            </w:tcMar>
          </w:tcPr>
          <w:p>
            <w:pPr>
              <w:spacing w:after="0" w:before="0"/>
            </w:pPr>
            <w:r>
              <w:rPr>
                <w:b/>
                <w:bCs/>
                <w:color w:val="FFFFFF"/>
                <w:sz w:val="17"/>
                <w:szCs w:val="17"/>
              </w:rPr>
              <w:t xml:space="preserve">Between</w:t>
            </w:r>
          </w:p>
        </w:tc>
        <w:tc>
          <w:tcPr>
            <w:tcW w:type="dxa" w:w="1657"/>
            <w:shd w:fill="13272F" w:val="clear"/>
            <w:tcMar>
              <w:top w:type="dxa" w:w="70"/>
              <w:left w:type="dxa" w:w="110"/>
              <w:bottom w:type="dxa" w:w="70"/>
              <w:right w:type="dxa" w:w="110"/>
            </w:tcMar>
          </w:tcPr>
          <w:p>
            <w:pPr>
              <w:spacing w:after="0" w:before="0"/>
            </w:pPr>
            <w:r>
              <w:rPr>
                <w:b/>
                <w:bCs/>
                <w:color w:val="FFFFFF"/>
                <w:sz w:val="17"/>
                <w:szCs w:val="17"/>
              </w:rPr>
              <w:t xml:space="preserve">Case 2</w:t>
            </w:r>
          </w:p>
        </w:tc>
      </w:tr>
      <w:tr>
        <w:trPr>
          <w:tblHeader w:val="false"/>
        </w:trPr>
        <w:tc>
          <w:tcPr>
            <w:tcW w:type="dxa" w:w="877"/>
            <w:shd w:fill="FFFFFF" w:val="clear"/>
            <w:tcMar>
              <w:top w:type="dxa" w:w="70"/>
              <w:left w:type="dxa" w:w="110"/>
              <w:bottom w:type="dxa" w:w="70"/>
              <w:right w:type="dxa" w:w="110"/>
            </w:tcMar>
          </w:tcPr>
          <w:p>
            <w:pPr>
              <w:spacing w:after="0" w:before="0"/>
            </w:pPr>
            <w:r>
              <w:rPr>
                <w:b/>
                <w:bCs/>
                <w:color w:val="13272F"/>
                <w:sz w:val="17"/>
                <w:szCs w:val="17"/>
              </w:rPr>
              <w:t xml:space="preserve">Treatment</w:t>
            </w:r>
          </w:p>
        </w:tc>
        <w:tc>
          <w:tcPr>
            <w:tcW w:type="dxa" w:w="1657"/>
            <w:shd w:fill="FFFFFF" w:val="clear"/>
            <w:tcMar>
              <w:top w:type="dxa" w:w="70"/>
              <w:left w:type="dxa" w:w="110"/>
              <w:bottom w:type="dxa" w:w="70"/>
              <w:right w:type="dxa" w:w="110"/>
            </w:tcMar>
          </w:tcPr>
          <w:p>
            <w:pPr>
              <w:spacing w:after="0" w:before="0"/>
            </w:pPr>
            <w:r>
              <w:rPr>
                <w:color w:val="13272F"/>
                <w:sz w:val="17"/>
                <w:szCs w:val="17"/>
              </w:rPr>
              <w:t xml:space="preserve">Full consultation</w:t>
            </w:r>
          </w:p>
        </w:tc>
        <w:tc>
          <w:tcPr>
            <w:tcW w:type="dxa" w:w="5169"/>
            <w:shd w:fill="FFFFFF" w:val="clear"/>
            <w:tcMar>
              <w:top w:type="dxa" w:w="70"/>
              <w:left w:type="dxa" w:w="110"/>
              <w:bottom w:type="dxa" w:w="70"/>
              <w:right w:type="dxa" w:w="110"/>
            </w:tcMar>
          </w:tcPr>
          <w:p>
            <w:pPr>
              <w:spacing w:after="0" w:before="0"/>
            </w:pPr>
            <w:r>
              <w:rPr>
                <w:b/>
                <w:bCs/>
                <w:color w:val="13272F"/>
                <w:sz w:val="17"/>
                <w:szCs w:val="17"/>
              </w:rPr>
              <w:t xml:space="preserve">Full reasoning feedback</w:t>
            </w:r>
          </w:p>
        </w:tc>
        <w:tc>
          <w:tcPr>
            <w:tcW w:type="dxa" w:w="1657"/>
            <w:shd w:fill="FFFFFF" w:val="clear"/>
            <w:tcMar>
              <w:top w:type="dxa" w:w="70"/>
              <w:left w:type="dxa" w:w="110"/>
              <w:bottom w:type="dxa" w:w="70"/>
              <w:right w:type="dxa" w:w="110"/>
            </w:tcMar>
          </w:tcPr>
          <w:p>
            <w:pPr>
              <w:spacing w:after="0" w:before="0"/>
            </w:pPr>
            <w:r>
              <w:rPr>
                <w:color w:val="13272F"/>
                <w:sz w:val="17"/>
                <w:szCs w:val="17"/>
              </w:rPr>
              <w:t xml:space="preserve">Full consultation</w:t>
            </w:r>
          </w:p>
        </w:tc>
      </w:tr>
      <w:tr>
        <w:trPr>
          <w:tblHeader w:val="false"/>
        </w:trPr>
        <w:tc>
          <w:tcPr>
            <w:tcW w:type="dxa" w:w="877"/>
            <w:shd w:fill="F7FAFB" w:val="clear"/>
            <w:tcMar>
              <w:top w:type="dxa" w:w="70"/>
              <w:left w:type="dxa" w:w="110"/>
              <w:bottom w:type="dxa" w:w="70"/>
              <w:right w:type="dxa" w:w="110"/>
            </w:tcMar>
          </w:tcPr>
          <w:p>
            <w:pPr>
              <w:spacing w:after="0" w:before="0"/>
            </w:pPr>
            <w:r>
              <w:rPr>
                <w:b/>
                <w:bCs/>
                <w:color w:val="13272F"/>
                <w:sz w:val="17"/>
                <w:szCs w:val="17"/>
              </w:rPr>
              <w:t xml:space="preserve">Control</w:t>
            </w:r>
          </w:p>
        </w:tc>
        <w:tc>
          <w:tcPr>
            <w:tcW w:type="dxa" w:w="1657"/>
            <w:shd w:fill="F7FAFB" w:val="clear"/>
            <w:tcMar>
              <w:top w:type="dxa" w:w="70"/>
              <w:left w:type="dxa" w:w="110"/>
              <w:bottom w:type="dxa" w:w="70"/>
              <w:right w:type="dxa" w:w="110"/>
            </w:tcMar>
          </w:tcPr>
          <w:p>
            <w:pPr>
              <w:spacing w:after="0" w:before="0"/>
            </w:pPr>
            <w:r>
              <w:rPr>
                <w:color w:val="13272F"/>
                <w:sz w:val="17"/>
                <w:szCs w:val="17"/>
              </w:rPr>
              <w:t xml:space="preserve">Full consultation</w:t>
            </w:r>
          </w:p>
        </w:tc>
        <w:tc>
          <w:tcPr>
            <w:tcW w:type="dxa" w:w="5169"/>
            <w:shd w:fill="F7FAFB" w:val="clear"/>
            <w:tcMar>
              <w:top w:type="dxa" w:w="70"/>
              <w:left w:type="dxa" w:w="110"/>
              <w:bottom w:type="dxa" w:w="70"/>
              <w:right w:type="dxa" w:w="110"/>
            </w:tcMar>
          </w:tcPr>
          <w:p>
            <w:pPr>
              <w:spacing w:after="0" w:before="0"/>
            </w:pPr>
            <w:r>
              <w:rPr>
                <w:b/>
                <w:bCs/>
                <w:color w:val="13272F"/>
                <w:sz w:val="17"/>
                <w:szCs w:val="17"/>
              </w:rPr>
              <w:t xml:space="preserve">Outcome only</w:t>
            </w:r>
            <w:r>
              <w:rPr>
                <w:color w:val="13272F"/>
                <w:sz w:val="17"/>
                <w:szCs w:val="17"/>
              </w:rPr>
              <w:t xml:space="preserve"> — "your diagnosis was correct/incorrect"</w:t>
            </w:r>
          </w:p>
        </w:tc>
        <w:tc>
          <w:tcPr>
            <w:tcW w:type="dxa" w:w="1657"/>
            <w:shd w:fill="F7FAFB" w:val="clear"/>
            <w:tcMar>
              <w:top w:type="dxa" w:w="70"/>
              <w:left w:type="dxa" w:w="110"/>
              <w:bottom w:type="dxa" w:w="70"/>
              <w:right w:type="dxa" w:w="110"/>
            </w:tcMar>
          </w:tcPr>
          <w:p>
            <w:pPr>
              <w:spacing w:after="0" w:before="0"/>
            </w:pPr>
            <w:r>
              <w:rPr>
                <w:color w:val="13272F"/>
                <w:sz w:val="17"/>
                <w:szCs w:val="17"/>
              </w:rPr>
              <w:t xml:space="preserve">Full consultation</w:t>
            </w:r>
          </w:p>
        </w:tc>
      </w:tr>
    </w:tbl>
    <w:p>
      <w:pPr>
        <w:spacing w:after="160"/>
      </w:pPr>
    </w:p>
    <w:p>
      <w:pPr>
        <w:spacing w:after="120" w:before="60" w:line="300"/>
      </w:pPr>
      <w:r>
        <w:rPr>
          <w:color w:val="13272F"/>
          <w:sz w:val="20"/>
          <w:szCs w:val="20"/>
        </w:rPr>
        <w:t xml:space="preserve">If both groups improve equally → the improvement was practice, and your feedback adds nothing.</w:t>
      </w:r>
    </w:p>
    <w:p>
      <w:pPr>
        <w:spacing w:after="120" w:before="60" w:line="300"/>
      </w:pPr>
      <w:r>
        <w:rPr>
          <w:color w:val="13272F"/>
          <w:sz w:val="20"/>
          <w:szCs w:val="20"/>
        </w:rPr>
        <w:t xml:space="preserve">If only treatment improves → </w:t>
      </w:r>
      <w:r>
        <w:rPr>
          <w:b/>
          <w:bCs/>
          <w:color w:val="13272F"/>
          <w:sz w:val="20"/>
          <w:szCs w:val="20"/>
        </w:rPr>
        <w:t xml:space="preserve">the feedback caused it.</w:t>
      </w:r>
      <w:r>
        <w:rPr>
          <w:color w:val="13272F"/>
          <w:sz w:val="20"/>
          <w:szCs w:val="20"/>
        </w:rPr>
        <w:t xml:space="preserve"> That is a causal claim you could defend.</w:t>
      </w:r>
    </w:p>
    <w:p>
      <w:pPr>
        <w:spacing w:after="120" w:before="60" w:line="300"/>
      </w:pPr>
      <w:r>
        <w:rPr>
          <w:b/>
          <w:bCs/>
          <w:color w:val="13272F"/>
          <w:sz w:val="20"/>
          <w:szCs w:val="20"/>
        </w:rPr>
        <w:t xml:space="preserve">The ethical issue.</w:t>
      </w:r>
      <w:r>
        <w:rPr>
          <w:color w:val="13272F"/>
          <w:sz w:val="20"/>
          <w:szCs w:val="20"/>
        </w:rPr>
        <w:t xml:space="preserve"> You are deliberately withholding an educational benefit from the control group. That is precisely what ethics committees exist to weigh.</w:t>
      </w:r>
    </w:p>
    <w:p>
      <w:pPr>
        <w:spacing w:after="120" w:before="60" w:line="300"/>
      </w:pPr>
      <w:r>
        <w:rPr>
          <w:b/>
          <w:bCs/>
          <w:color w:val="13272F"/>
          <w:sz w:val="20"/>
          <w:szCs w:val="20"/>
        </w:rPr>
        <w:t xml:space="preserve">The standard resolution: a wait-list design.</w:t>
      </w:r>
      <w:r>
        <w:rPr>
          <w:color w:val="13272F"/>
          <w:sz w:val="20"/>
          <w:szCs w:val="20"/>
        </w:rPr>
        <w:t xml:space="preserve"> The control group receives their full reasoning feedback </w:t>
      </w:r>
      <w:r>
        <w:rPr>
          <w:b/>
          <w:bCs/>
          <w:color w:val="13272F"/>
          <w:sz w:val="20"/>
          <w:szCs w:val="20"/>
        </w:rPr>
        <w:t xml:space="preserve">immediately after</w:t>
      </w:r>
      <w:r>
        <w:rPr>
          <w:color w:val="13272F"/>
          <w:sz w:val="20"/>
          <w:szCs w:val="20"/>
        </w:rPr>
        <w:t xml:space="preserve"> the study concludes. Nobody is permanently denied anything; the withholding is temporary and disclosed in advance. Ethics committees are familiar with this and it usually resolves the objection.</w:t>
      </w:r>
    </w:p>
    <w:p>
      <w:pPr>
        <w:spacing w:after="120" w:before="60" w:line="300"/>
      </w:pPr>
      <w:r>
        <w:rPr>
          <w:b/>
          <w:bCs/>
          <w:color w:val="13272F"/>
          <w:sz w:val="20"/>
          <w:szCs w:val="20"/>
        </w:rPr>
        <w:t xml:space="preserve">Recommendation:</w:t>
      </w:r>
      <w:r>
        <w:rPr>
          <w:color w:val="13272F"/>
          <w:sz w:val="20"/>
          <w:szCs w:val="20"/>
        </w:rPr>
        <w:t xml:space="preserve"> wait-list design, disclosed at consent, feedback released automatically when the study window closes.</w:t>
      </w:r>
    </w:p>
    <w:p>
      <w:pPr>
        <w:pStyle w:val="Heading2"/>
        <w:spacing w:after="130" w:before="300"/>
      </w:pPr>
      <w:r>
        <w:rPr>
          <w:rFonts w:ascii="Georgia" w:cs="Georgia" w:eastAsia="Georgia" w:hAnsi="Georgia"/>
          <w:b/>
          <w:bCs/>
          <w:color w:val="1F7A8C"/>
          <w:sz w:val="25"/>
          <w:szCs w:val="25"/>
        </w:rPr>
        <w:t xml:space="preserve">10.3 Research mode inside a commercial product</w:t>
      </w:r>
    </w:p>
    <w:p>
      <w:pPr>
        <w:spacing w:after="120" w:before="60" w:line="300"/>
      </w:pPr>
      <w:r>
        <w:rPr>
          <w:color w:val="13272F"/>
          <w:sz w:val="20"/>
          <w:szCs w:val="20"/>
        </w:rPr>
        <w:t xml:space="preserve">Since you are B2C, the research study becomes an </w:t>
      </w:r>
      <w:r>
        <w:rPr>
          <w:b/>
          <w:bCs/>
          <w:color w:val="13272F"/>
          <w:sz w:val="20"/>
          <w:szCs w:val="20"/>
        </w:rPr>
        <w:t xml:space="preserve">opt-in mode</w:t>
      </w:r>
      <w:r>
        <w:rPr>
          <w:color w:val="13272F"/>
          <w:sz w:val="20"/>
          <w:szCs w:val="20"/>
        </w:rPr>
        <w:t xml:space="preserve">, not the default experience.</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profiles.consent_research already exists in §2.5</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study_enrolments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study_id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studies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arm</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case_order</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enrolled_at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completed_at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withdrawn_at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consent_version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spacing w:after="120" w:before="60" w:line="300"/>
      </w:pPr>
      <w:r>
        <w:rPr>
          <w:color w:val="13272F"/>
          <w:sz w:val="20"/>
          <w:szCs w:val="20"/>
        </w:rPr>
        <w:t xml:space="preserve">Design rules:</w:t>
      </w:r>
    </w:p>
    <w:p>
      <w:pPr>
        <w:pStyle w:val="ListParagraph"/>
        <w:numPr>
          <w:ilvl w:val="0"/>
          <w:numId w:val="1"/>
        </w:numPr>
        <w:spacing w:after="40" w:before="40" w:line="280"/>
      </w:pPr>
      <w:r>
        <w:rPr>
          <w:b/>
          <w:bCs/>
          <w:color w:val="13272F"/>
          <w:sz w:val="20"/>
          <w:szCs w:val="20"/>
        </w:rPr>
        <w:t xml:space="preserve">Opt-in, never default.</w:t>
      </w:r>
      <w:r>
        <w:rPr>
          <w:color w:val="13272F"/>
          <w:sz w:val="20"/>
          <w:szCs w:val="20"/>
        </w:rPr>
        <w:t xml:space="preserve"> A paying user must not be silently placed in a control arm.</w:t>
      </w:r>
    </w:p>
    <w:p>
      <w:pPr>
        <w:pStyle w:val="ListParagraph"/>
        <w:numPr>
          <w:ilvl w:val="0"/>
          <w:numId w:val="1"/>
        </w:numPr>
        <w:spacing w:after="40" w:before="40" w:line="280"/>
      </w:pPr>
      <w:r>
        <w:rPr>
          <w:b/>
          <w:bCs/>
          <w:color w:val="13272F"/>
          <w:sz w:val="20"/>
          <w:szCs w:val="20"/>
        </w:rPr>
        <w:t xml:space="preserve">Incentivise participation</w:t>
      </w:r>
      <w:r>
        <w:rPr>
          <w:color w:val="13272F"/>
          <w:sz w:val="20"/>
          <w:szCs w:val="20"/>
        </w:rPr>
        <w:t xml:space="preserve"> — free Pro time is appropriate and normal.</w:t>
      </w:r>
    </w:p>
    <w:p>
      <w:pPr>
        <w:pStyle w:val="ListParagraph"/>
        <w:numPr>
          <w:ilvl w:val="0"/>
          <w:numId w:val="1"/>
        </w:numPr>
        <w:spacing w:after="40" w:before="40" w:line="280"/>
      </w:pPr>
      <w:r>
        <w:rPr>
          <w:b/>
          <w:bCs/>
          <w:color w:val="13272F"/>
          <w:sz w:val="20"/>
          <w:szCs w:val="20"/>
        </w:rPr>
        <w:t xml:space="preserve">Withdrawal is honoured</w:t>
      </w:r>
      <w:r>
        <w:rPr>
          <w:color w:val="13272F"/>
          <w:sz w:val="20"/>
          <w:szCs w:val="20"/>
        </w:rPr>
        <w:t xml:space="preserve"> — excluded from analysis, and the wait-list feedback is released immediately.</w:t>
      </w:r>
    </w:p>
    <w:p>
      <w:pPr>
        <w:pStyle w:val="ListParagraph"/>
        <w:numPr>
          <w:ilvl w:val="0"/>
          <w:numId w:val="1"/>
        </w:numPr>
        <w:spacing w:after="40" w:before="40" w:line="280"/>
      </w:pPr>
      <w:r>
        <w:rPr>
          <w:b/>
          <w:bCs/>
          <w:color w:val="13272F"/>
          <w:sz w:val="20"/>
          <w:szCs w:val="20"/>
        </w:rPr>
        <w:t xml:space="preserve">Ordinary users are unaffected.</w:t>
      </w:r>
      <w:r>
        <w:rPr>
          <w:color w:val="13272F"/>
          <w:sz w:val="20"/>
          <w:szCs w:val="20"/>
        </w:rPr>
        <w:t xml:space="preserve"> Everyone not enrolled gets the full product.</w:t>
      </w:r>
    </w:p>
    <w:p>
      <w:pPr>
        <w:spacing w:after="120" w:before="60" w:line="300"/>
      </w:pPr>
      <w:r>
        <w:rPr>
          <w:color w:val="13272F"/>
          <w:sz w:val="20"/>
          <w:szCs w:val="20"/>
        </w:rPr>
        <w:t xml:space="preserve">This also solves a business problem: it gives you a legitimate, ethical route to keep publishing research from a commercial product, which is genuinely valuable for credibility in medical education.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Revised roadmap</w:t>
      </w:r>
    </w:p>
    <w:p>
      <w:pPr>
        <w:spacing w:after="120" w:before="60" w:line="300"/>
      </w:pPr>
      <w:r>
        <w:rPr>
          <w:color w:val="13272F"/>
          <w:sz w:val="20"/>
          <w:szCs w:val="20"/>
        </w:rPr>
        <w:t xml:space="preserve">Reordered for a commercial B2C product. Effort in developer-days for two developers plus AI assistance.</w:t>
      </w:r>
    </w:p>
    <w:p>
      <w:pPr>
        <w:pStyle w:val="Heading2"/>
        <w:spacing w:after="130" w:before="300"/>
      </w:pPr>
      <w:r>
        <w:rPr>
          <w:rFonts w:ascii="Georgia" w:cs="Georgia" w:eastAsia="Georgia" w:hAnsi="Georgia"/>
          <w:b/>
          <w:bCs/>
          <w:color w:val="1F7A8C"/>
          <w:sz w:val="25"/>
          <w:szCs w:val="25"/>
        </w:rPr>
        <w:t xml:space="preserve">Phase 0 — Foundation (≈ 8 d) — *unchanged from v1*</w:t>
      </w:r>
    </w:p>
    <w:p>
      <w:pPr>
        <w:spacing w:after="120" w:before="60" w:line="300"/>
      </w:pPr>
      <w:r>
        <w:rPr>
          <w:color w:val="13272F"/>
          <w:sz w:val="20"/>
          <w:szCs w:val="20"/>
        </w:rPr>
        <w:t xml:space="preserve">Package restructure, tests, CI with the detector-validation gate, Docker, config, structured logging, the lexicon disjointness test.</w:t>
      </w:r>
    </w:p>
    <w:p>
      <w:pPr>
        <w:pStyle w:val="Heading2"/>
        <w:spacing w:after="130" w:before="300"/>
      </w:pPr>
      <w:r>
        <w:rPr>
          <w:rFonts w:ascii="Georgia" w:cs="Georgia" w:eastAsia="Georgia" w:hAnsi="Georgia"/>
          <w:b/>
          <w:bCs/>
          <w:color w:val="1F7A8C"/>
          <w:sz w:val="25"/>
          <w:szCs w:val="25"/>
        </w:rPr>
        <w:t xml:space="preserve">Phase 1 — Persistence and accounts (≈ 16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91"/>
        <w:gridCol w:w="7578"/>
        <w:gridCol w:w="891"/>
      </w:tblGrid>
      <w:tr>
        <w:trPr>
          <w:tblHeader/>
        </w:trPr>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78"/>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P1-1</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Supabase project; Postgres schema §2.5 with Alembic</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P1-2</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Supabase Auth integration; JWT verification; profile creation</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P1-3</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Row-Level Security policies</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P1-4</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Event-sourced session state; retire </w:t>
            </w:r>
            <w:r>
              <w:rPr>
                <w:rFonts w:ascii="Consolas" w:cs="Consolas" w:eastAsia="Consolas" w:hAnsi="Consolas"/>
                <w:color w:val="B3651F"/>
                <w:sz w:val="15"/>
                <w:szCs w:val="15"/>
              </w:rPr>
              <w:t xml:space="preserve">SESSION_STORE</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P1-5</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Session reconstruction + assessment from events</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P1-6</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Backfill the 16 pilot sessions</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P1-7</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Move cases from </w:t>
            </w:r>
            <w:r>
              <w:rPr>
                <w:rFonts w:ascii="Consolas" w:cs="Consolas" w:eastAsia="Consolas" w:hAnsi="Consolas"/>
                <w:color w:val="B3651F"/>
                <w:sz w:val="15"/>
                <w:szCs w:val="15"/>
              </w:rPr>
              <w:t xml:space="preserve">cases.py</w:t>
            </w:r>
            <w:r>
              <w:rPr>
                <w:color w:val="13272F"/>
                <w:sz w:val="17"/>
                <w:szCs w:val="17"/>
              </w:rPr>
              <w:t xml:space="preserve"> into the database</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P1-8</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Move topic lexicon into the database</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P1-9</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Account settings, data export, account deletion</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1</w:t>
            </w:r>
          </w:p>
        </w:tc>
      </w:tr>
    </w:tbl>
    <w:p>
      <w:pPr>
        <w:spacing w:after="160"/>
      </w:pPr>
    </w:p>
    <w:p>
      <w:pPr>
        <w:pStyle w:val="Heading2"/>
        <w:spacing w:after="130" w:before="300"/>
      </w:pPr>
      <w:r>
        <w:rPr>
          <w:rFonts w:ascii="Georgia" w:cs="Georgia" w:eastAsia="Georgia" w:hAnsi="Georgia"/>
          <w:b/>
          <w:bCs/>
          <w:color w:val="1F7A8C"/>
          <w:sz w:val="25"/>
          <w:szCs w:val="25"/>
        </w:rPr>
        <w:t xml:space="preserve">Phase 2 — Admin console P0 (≈ 11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2"/>
        <w:gridCol w:w="7456"/>
        <w:gridCol w:w="952"/>
      </w:tblGrid>
      <w:tr>
        <w:trPr>
          <w:tblHeader/>
        </w:trPr>
        <w:tc>
          <w:tcPr>
            <w:tcW w:type="dxa" w:w="952"/>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456"/>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52"/>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52"/>
            <w:shd w:fill="FFFFFF" w:val="clear"/>
            <w:tcMar>
              <w:top w:type="dxa" w:w="70"/>
              <w:left w:type="dxa" w:w="110"/>
              <w:bottom w:type="dxa" w:w="70"/>
              <w:right w:type="dxa" w:w="110"/>
            </w:tcMar>
          </w:tcPr>
          <w:p>
            <w:pPr>
              <w:spacing w:after="0" w:before="0"/>
            </w:pPr>
            <w:r>
              <w:rPr>
                <w:color w:val="13272F"/>
                <w:sz w:val="17"/>
                <w:szCs w:val="17"/>
              </w:rPr>
              <w:t xml:space="preserve">P2-1</w:t>
            </w:r>
          </w:p>
        </w:tc>
        <w:tc>
          <w:tcPr>
            <w:tcW w:type="dxa" w:w="7456"/>
            <w:shd w:fill="FFFFFF" w:val="clear"/>
            <w:tcMar>
              <w:top w:type="dxa" w:w="70"/>
              <w:left w:type="dxa" w:w="110"/>
              <w:bottom w:type="dxa" w:w="70"/>
              <w:right w:type="dxa" w:w="110"/>
            </w:tcMar>
          </w:tcPr>
          <w:p>
            <w:pPr>
              <w:spacing w:after="0" w:before="0"/>
            </w:pPr>
            <w:r>
              <w:rPr>
                <w:color w:val="13272F"/>
                <w:sz w:val="17"/>
                <w:szCs w:val="17"/>
              </w:rPr>
              <w:t xml:space="preserve">Case bank browser</w:t>
            </w:r>
          </w:p>
        </w:tc>
        <w:tc>
          <w:tcPr>
            <w:tcW w:type="dxa" w:w="952"/>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52"/>
            <w:shd w:fill="F7FAFB" w:val="clear"/>
            <w:tcMar>
              <w:top w:type="dxa" w:w="70"/>
              <w:left w:type="dxa" w:w="110"/>
              <w:bottom w:type="dxa" w:w="70"/>
              <w:right w:type="dxa" w:w="110"/>
            </w:tcMar>
          </w:tcPr>
          <w:p>
            <w:pPr>
              <w:spacing w:after="0" w:before="0"/>
            </w:pPr>
            <w:r>
              <w:rPr>
                <w:color w:val="13272F"/>
                <w:sz w:val="17"/>
                <w:szCs w:val="17"/>
              </w:rPr>
              <w:t xml:space="preserve">P2-2</w:t>
            </w:r>
          </w:p>
        </w:tc>
        <w:tc>
          <w:tcPr>
            <w:tcW w:type="dxa" w:w="7456"/>
            <w:shd w:fill="F7FAFB" w:val="clear"/>
            <w:tcMar>
              <w:top w:type="dxa" w:w="70"/>
              <w:left w:type="dxa" w:w="110"/>
              <w:bottom w:type="dxa" w:w="70"/>
              <w:right w:type="dxa" w:w="110"/>
            </w:tcMar>
          </w:tcPr>
          <w:p>
            <w:pPr>
              <w:spacing w:after="0" w:before="0"/>
            </w:pPr>
            <w:r>
              <w:rPr>
                <w:b/>
                <w:bCs/>
                <w:color w:val="13272F"/>
                <w:sz w:val="17"/>
                <w:szCs w:val="17"/>
              </w:rPr>
              <w:t xml:space="preserve">Case editor with overlap validation</w:t>
            </w:r>
          </w:p>
        </w:tc>
        <w:tc>
          <w:tcPr>
            <w:tcW w:type="dxa" w:w="952"/>
            <w:shd w:fill="F7FAFB" w:val="clear"/>
            <w:tcMar>
              <w:top w:type="dxa" w:w="70"/>
              <w:left w:type="dxa" w:w="110"/>
              <w:bottom w:type="dxa" w:w="70"/>
              <w:right w:type="dxa" w:w="110"/>
            </w:tcMar>
          </w:tcPr>
          <w:p>
            <w:pPr>
              <w:spacing w:after="0" w:before="0"/>
            </w:pPr>
            <w:r>
              <w:rPr>
                <w:color w:val="13272F"/>
                <w:sz w:val="17"/>
                <w:szCs w:val="17"/>
              </w:rPr>
              <w:t xml:space="preserve">5</w:t>
            </w:r>
          </w:p>
        </w:tc>
      </w:tr>
      <w:tr>
        <w:trPr>
          <w:tblHeader w:val="false"/>
        </w:trPr>
        <w:tc>
          <w:tcPr>
            <w:tcW w:type="dxa" w:w="952"/>
            <w:shd w:fill="FFFFFF" w:val="clear"/>
            <w:tcMar>
              <w:top w:type="dxa" w:w="70"/>
              <w:left w:type="dxa" w:w="110"/>
              <w:bottom w:type="dxa" w:w="70"/>
              <w:right w:type="dxa" w:w="110"/>
            </w:tcMar>
          </w:tcPr>
          <w:p>
            <w:pPr>
              <w:spacing w:after="0" w:before="0"/>
            </w:pPr>
            <w:r>
              <w:rPr>
                <w:color w:val="13272F"/>
                <w:sz w:val="17"/>
                <w:szCs w:val="17"/>
              </w:rPr>
              <w:t xml:space="preserve">P2-3</w:t>
            </w:r>
          </w:p>
        </w:tc>
        <w:tc>
          <w:tcPr>
            <w:tcW w:type="dxa" w:w="7456"/>
            <w:shd w:fill="FFFFFF" w:val="clear"/>
            <w:tcMar>
              <w:top w:type="dxa" w:w="70"/>
              <w:left w:type="dxa" w:w="110"/>
              <w:bottom w:type="dxa" w:w="70"/>
              <w:right w:type="dxa" w:w="110"/>
            </w:tcMar>
          </w:tcPr>
          <w:p>
            <w:pPr>
              <w:spacing w:after="0" w:before="0"/>
            </w:pPr>
            <w:r>
              <w:rPr>
                <w:b/>
                <w:bCs/>
                <w:color w:val="13272F"/>
                <w:sz w:val="17"/>
                <w:szCs w:val="17"/>
              </w:rPr>
              <w:t xml:space="preserve">Playtest with live instrumentation</w:t>
            </w:r>
          </w:p>
        </w:tc>
        <w:tc>
          <w:tcPr>
            <w:tcW w:type="dxa" w:w="952"/>
            <w:shd w:fill="FFFFFF" w:val="clear"/>
            <w:tcMar>
              <w:top w:type="dxa" w:w="70"/>
              <w:left w:type="dxa" w:w="110"/>
              <w:bottom w:type="dxa" w:w="70"/>
              <w:right w:type="dxa" w:w="110"/>
            </w:tcMar>
          </w:tcPr>
          <w:p>
            <w:pPr>
              <w:spacing w:after="0" w:before="0"/>
            </w:pPr>
            <w:r>
              <w:rPr>
                <w:color w:val="13272F"/>
                <w:sz w:val="17"/>
                <w:szCs w:val="17"/>
              </w:rPr>
              <w:t xml:space="preserve">4</w:t>
            </w:r>
          </w:p>
        </w:tc>
      </w:tr>
    </w:tbl>
    <w:p>
      <w:pPr>
        <w:spacing w:after="160"/>
      </w:pPr>
    </w:p>
    <w:p>
      <w:pPr>
        <w:spacing w:after="120" w:before="60" w:line="300"/>
      </w:pPr>
      <w:r>
        <w:rPr>
          <w:b/>
          <w:bCs/>
          <w:color w:val="13272F"/>
          <w:sz w:val="20"/>
          <w:szCs w:val="20"/>
        </w:rPr>
        <w:t xml:space="preserve">This unlocks your clinician reviewers. It is the milestone that matters most.</w:t>
      </w:r>
    </w:p>
    <w:p>
      <w:pPr>
        <w:pStyle w:val="Heading2"/>
        <w:spacing w:after="130" w:before="300"/>
      </w:pPr>
      <w:r>
        <w:rPr>
          <w:rFonts w:ascii="Georgia" w:cs="Georgia" w:eastAsia="Georgia" w:hAnsi="Georgia"/>
          <w:b/>
          <w:bCs/>
          <w:color w:val="1F7A8C"/>
          <w:sz w:val="25"/>
          <w:szCs w:val="25"/>
        </w:rPr>
        <w:t xml:space="preserve">Phase 3 — API and web app (≈ 22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8"/>
        <w:gridCol w:w="7484"/>
        <w:gridCol w:w="938"/>
      </w:tblGrid>
      <w:tr>
        <w:trPr>
          <w:tblHeader/>
        </w:trPr>
        <w:tc>
          <w:tcPr>
            <w:tcW w:type="dxa" w:w="938"/>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484"/>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38"/>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P3-1</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JSON API with typed schemas + OpenAPI</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6</w:t>
            </w:r>
          </w:p>
        </w:tc>
      </w:tr>
      <w:tr>
        <w:trPr>
          <w:tblHeader w:val="false"/>
        </w:trPr>
        <w:tc>
          <w:tcPr>
            <w:tcW w:type="dxa" w:w="938"/>
            <w:shd w:fill="F7FAFB" w:val="clear"/>
            <w:tcMar>
              <w:top w:type="dxa" w:w="70"/>
              <w:left w:type="dxa" w:w="110"/>
              <w:bottom w:type="dxa" w:w="70"/>
              <w:right w:type="dxa" w:w="110"/>
            </w:tcMar>
          </w:tcPr>
          <w:p>
            <w:pPr>
              <w:spacing w:after="0" w:before="0"/>
            </w:pPr>
            <w:r>
              <w:rPr>
                <w:color w:val="13272F"/>
                <w:sz w:val="17"/>
                <w:szCs w:val="17"/>
              </w:rPr>
              <w:t xml:space="preserve">P3-2</w:t>
            </w:r>
          </w:p>
        </w:tc>
        <w:tc>
          <w:tcPr>
            <w:tcW w:type="dxa" w:w="7484"/>
            <w:shd w:fill="F7FAFB" w:val="clear"/>
            <w:tcMar>
              <w:top w:type="dxa" w:w="70"/>
              <w:left w:type="dxa" w:w="110"/>
              <w:bottom w:type="dxa" w:w="70"/>
              <w:right w:type="dxa" w:w="110"/>
            </w:tcMar>
          </w:tcPr>
          <w:p>
            <w:pPr>
              <w:spacing w:after="0" w:before="0"/>
            </w:pPr>
            <w:r>
              <w:rPr>
                <w:color w:val="13272F"/>
                <w:sz w:val="17"/>
                <w:szCs w:val="17"/>
              </w:rPr>
              <w:t xml:space="preserve">Next.js scaffold, auth flow, API client</w:t>
            </w:r>
          </w:p>
        </w:tc>
        <w:tc>
          <w:tcPr>
            <w:tcW w:type="dxa" w:w="938"/>
            <w:shd w:fill="F7FAFB"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P3-3</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Consultation screen</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6</w:t>
            </w:r>
          </w:p>
        </w:tc>
      </w:tr>
      <w:tr>
        <w:trPr>
          <w:tblHeader w:val="false"/>
        </w:trPr>
        <w:tc>
          <w:tcPr>
            <w:tcW w:type="dxa" w:w="938"/>
            <w:shd w:fill="F7FAFB" w:val="clear"/>
            <w:tcMar>
              <w:top w:type="dxa" w:w="70"/>
              <w:left w:type="dxa" w:w="110"/>
              <w:bottom w:type="dxa" w:w="70"/>
              <w:right w:type="dxa" w:w="110"/>
            </w:tcMar>
          </w:tcPr>
          <w:p>
            <w:pPr>
              <w:spacing w:after="0" w:before="0"/>
            </w:pPr>
            <w:r>
              <w:rPr>
                <w:color w:val="13272F"/>
                <w:sz w:val="17"/>
                <w:szCs w:val="17"/>
              </w:rPr>
              <w:t xml:space="preserve">P3-4</w:t>
            </w:r>
          </w:p>
        </w:tc>
        <w:tc>
          <w:tcPr>
            <w:tcW w:type="dxa" w:w="7484"/>
            <w:shd w:fill="F7FAFB" w:val="clear"/>
            <w:tcMar>
              <w:top w:type="dxa" w:w="70"/>
              <w:left w:type="dxa" w:w="110"/>
              <w:bottom w:type="dxa" w:w="70"/>
              <w:right w:type="dxa" w:w="110"/>
            </w:tcMar>
          </w:tcPr>
          <w:p>
            <w:pPr>
              <w:spacing w:after="0" w:before="0"/>
            </w:pPr>
            <w:r>
              <w:rPr>
                <w:color w:val="13272F"/>
                <w:sz w:val="17"/>
                <w:szCs w:val="17"/>
              </w:rPr>
              <w:t xml:space="preserve">Feedback screen</w:t>
            </w:r>
          </w:p>
        </w:tc>
        <w:tc>
          <w:tcPr>
            <w:tcW w:type="dxa" w:w="938"/>
            <w:shd w:fill="F7FAFB"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P3-5</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Dashboard, progress, history</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3</w:t>
            </w:r>
          </w:p>
        </w:tc>
      </w:tr>
    </w:tbl>
    <w:p>
      <w:pPr>
        <w:spacing w:after="160"/>
      </w:pPr>
    </w:p>
    <w:p>
      <w:pPr>
        <w:pStyle w:val="Heading2"/>
        <w:spacing w:after="130" w:before="300"/>
      </w:pPr>
      <w:r>
        <w:rPr>
          <w:rFonts w:ascii="Georgia" w:cs="Georgia" w:eastAsia="Georgia" w:hAnsi="Georgia"/>
          <w:b/>
          <w:bCs/>
          <w:color w:val="1F7A8C"/>
          <w:sz w:val="25"/>
          <w:szCs w:val="25"/>
        </w:rPr>
        <w:t xml:space="preserve">Phase 4 — Commercial readiness (≈ 17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12"/>
        <w:gridCol w:w="7536"/>
        <w:gridCol w:w="912"/>
      </w:tblGrid>
      <w:tr>
        <w:trPr>
          <w:tblHeader/>
        </w:trPr>
        <w:tc>
          <w:tcPr>
            <w:tcW w:type="dxa" w:w="912"/>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36"/>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12"/>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P4-1</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Stripe subscriptions, webhooks, tier gating</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P4-2</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Clinical review queue + rubric</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P4-3</w:t>
            </w:r>
          </w:p>
        </w:tc>
        <w:tc>
          <w:tcPr>
            <w:tcW w:type="dxa" w:w="7536"/>
            <w:shd w:fill="FFFFFF" w:val="clear"/>
            <w:tcMar>
              <w:top w:type="dxa" w:w="70"/>
              <w:left w:type="dxa" w:w="110"/>
              <w:bottom w:type="dxa" w:w="70"/>
              <w:right w:type="dxa" w:w="110"/>
            </w:tcMar>
          </w:tcPr>
          <w:p>
            <w:pPr>
              <w:spacing w:after="0" w:before="0"/>
            </w:pPr>
            <w:r>
              <w:rPr>
                <w:b/>
                <w:bCs/>
                <w:color w:val="13272F"/>
                <w:sz w:val="17"/>
                <w:szCs w:val="17"/>
              </w:rPr>
              <w:t xml:space="preserve">Leakage monitor + adversarial CI suite</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P4-4</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AI usage &amp; cost dashboard</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P4-5</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Examinations / investigations editor</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P4-6</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Metabase for analytics</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P4-7</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Privacy policy, terms, disclaimers, consent flows</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2</w:t>
            </w:r>
          </w:p>
        </w:tc>
      </w:tr>
    </w:tbl>
    <w:p>
      <w:pPr>
        <w:spacing w:after="160"/>
      </w:pPr>
    </w:p>
    <w:p>
      <w:pPr>
        <w:pStyle w:val="Heading2"/>
        <w:spacing w:after="130" w:before="300"/>
      </w:pPr>
      <w:r>
        <w:rPr>
          <w:rFonts w:ascii="Georgia" w:cs="Georgia" w:eastAsia="Georgia" w:hAnsi="Georgia"/>
          <w:b/>
          <w:bCs/>
          <w:color w:val="1F7A8C"/>
          <w:sz w:val="25"/>
          <w:szCs w:val="25"/>
        </w:rPr>
        <w:t xml:space="preserve">Phase 5 — Measurement upgrade (≈ 11 d) — *v1 Phase 3*</w:t>
      </w:r>
    </w:p>
    <w:p>
      <w:pPr>
        <w:spacing w:after="120" w:before="60" w:line="300"/>
      </w:pPr>
      <w:r>
        <w:rPr>
          <w:color w:val="13272F"/>
          <w:sz w:val="20"/>
          <w:szCs w:val="20"/>
        </w:rPr>
        <w:t xml:space="preserve">Embeddings, hybrid matcher, calibration corpus, threshold calibration, replay.</w:t>
      </w:r>
    </w:p>
    <w:p>
      <w:pPr>
        <w:pStyle w:val="Heading2"/>
        <w:spacing w:after="130" w:before="300"/>
      </w:pPr>
      <w:r>
        <w:rPr>
          <w:rFonts w:ascii="Georgia" w:cs="Georgia" w:eastAsia="Georgia" w:hAnsi="Georgia"/>
          <w:b/>
          <w:bCs/>
          <w:color w:val="1F7A8C"/>
          <w:sz w:val="25"/>
          <w:szCs w:val="25"/>
        </w:rPr>
        <w:t xml:space="preserve">Phase 6 — Mobile (≈ 20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16"/>
        <w:gridCol w:w="7528"/>
        <w:gridCol w:w="916"/>
      </w:tblGrid>
      <w:tr>
        <w:trPr>
          <w:tblHeader/>
        </w:trPr>
        <w:tc>
          <w:tcPr>
            <w:tcW w:type="dxa" w:w="916"/>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28"/>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16"/>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P6-1</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React Native + Expo scaffold, shared API client</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6"/>
            <w:shd w:fill="F7FAFB" w:val="clear"/>
            <w:tcMar>
              <w:top w:type="dxa" w:w="70"/>
              <w:left w:type="dxa" w:w="110"/>
              <w:bottom w:type="dxa" w:w="70"/>
              <w:right w:type="dxa" w:w="110"/>
            </w:tcMar>
          </w:tcPr>
          <w:p>
            <w:pPr>
              <w:spacing w:after="0" w:before="0"/>
            </w:pPr>
            <w:r>
              <w:rPr>
                <w:color w:val="13272F"/>
                <w:sz w:val="17"/>
                <w:szCs w:val="17"/>
              </w:rPr>
              <w:t xml:space="preserve">P6-2</w:t>
            </w:r>
          </w:p>
        </w:tc>
        <w:tc>
          <w:tcPr>
            <w:tcW w:type="dxa" w:w="7528"/>
            <w:shd w:fill="F7FAFB" w:val="clear"/>
            <w:tcMar>
              <w:top w:type="dxa" w:w="70"/>
              <w:left w:type="dxa" w:w="110"/>
              <w:bottom w:type="dxa" w:w="70"/>
              <w:right w:type="dxa" w:w="110"/>
            </w:tcMar>
          </w:tcPr>
          <w:p>
            <w:pPr>
              <w:spacing w:after="0" w:before="0"/>
            </w:pPr>
            <w:r>
              <w:rPr>
                <w:color w:val="13272F"/>
                <w:sz w:val="17"/>
                <w:szCs w:val="17"/>
              </w:rPr>
              <w:t xml:space="preserve">Consultation + feedback screens</w:t>
            </w:r>
          </w:p>
        </w:tc>
        <w:tc>
          <w:tcPr>
            <w:tcW w:type="dxa" w:w="916"/>
            <w:shd w:fill="F7FAFB" w:val="clear"/>
            <w:tcMar>
              <w:top w:type="dxa" w:w="70"/>
              <w:left w:type="dxa" w:w="110"/>
              <w:bottom w:type="dxa" w:w="70"/>
              <w:right w:type="dxa" w:w="110"/>
            </w:tcMar>
          </w:tcPr>
          <w:p>
            <w:pPr>
              <w:spacing w:after="0" w:before="0"/>
            </w:pPr>
            <w:r>
              <w:rPr>
                <w:color w:val="13272F"/>
                <w:sz w:val="17"/>
                <w:szCs w:val="17"/>
              </w:rPr>
              <w:t xml:space="preserve">8</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P6-3</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Apple/Google in-app purchase</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6"/>
            <w:shd w:fill="F7FAFB" w:val="clear"/>
            <w:tcMar>
              <w:top w:type="dxa" w:w="70"/>
              <w:left w:type="dxa" w:w="110"/>
              <w:bottom w:type="dxa" w:w="70"/>
              <w:right w:type="dxa" w:w="110"/>
            </w:tcMar>
          </w:tcPr>
          <w:p>
            <w:pPr>
              <w:spacing w:after="0" w:before="0"/>
            </w:pPr>
            <w:r>
              <w:rPr>
                <w:color w:val="13272F"/>
                <w:sz w:val="17"/>
                <w:szCs w:val="17"/>
              </w:rPr>
              <w:t xml:space="preserve">P6-4</w:t>
            </w:r>
          </w:p>
        </w:tc>
        <w:tc>
          <w:tcPr>
            <w:tcW w:type="dxa" w:w="7528"/>
            <w:shd w:fill="F7FAFB" w:val="clear"/>
            <w:tcMar>
              <w:top w:type="dxa" w:w="70"/>
              <w:left w:type="dxa" w:w="110"/>
              <w:bottom w:type="dxa" w:w="70"/>
              <w:right w:type="dxa" w:w="110"/>
            </w:tcMar>
          </w:tcPr>
          <w:p>
            <w:pPr>
              <w:spacing w:after="0" w:before="0"/>
            </w:pPr>
            <w:r>
              <w:rPr>
                <w:color w:val="13272F"/>
                <w:sz w:val="17"/>
                <w:szCs w:val="17"/>
              </w:rPr>
              <w:t xml:space="preserve">Push notifications</w:t>
            </w:r>
          </w:p>
        </w:tc>
        <w:tc>
          <w:tcPr>
            <w:tcW w:type="dxa" w:w="916"/>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P6-5</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Store listings, screenshots, review submission</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2</w:t>
            </w:r>
          </w:p>
        </w:tc>
      </w:tr>
    </w:tbl>
    <w:p>
      <w:pPr>
        <w:spacing w:after="160"/>
      </w:pPr>
    </w:p>
    <w:p>
      <w:pPr>
        <w:pStyle w:val="Heading2"/>
        <w:spacing w:after="130" w:before="300"/>
      </w:pPr>
      <w:r>
        <w:rPr>
          <w:rFonts w:ascii="Georgia" w:cs="Georgia" w:eastAsia="Georgia" w:hAnsi="Georgia"/>
          <w:b/>
          <w:bCs/>
          <w:color w:val="1F7A8C"/>
          <w:sz w:val="25"/>
          <w:szCs w:val="25"/>
        </w:rPr>
        <w:t xml:space="preserve">Phase 7 — Case Factory (≈ 22 d) — *v1 Phase 5, plus*</w:t>
      </w:r>
    </w:p>
    <w:p>
      <w:pPr>
        <w:spacing w:after="120" w:before="60" w:line="300"/>
      </w:pPr>
      <w:r>
        <w:rPr>
          <w:color w:val="13272F"/>
          <w:sz w:val="20"/>
          <w:szCs w:val="20"/>
        </w:rPr>
        <w:t xml:space="preserve">All v1 stages, plus: NLI-based grounding (§5.5), licence gating (§9.1), and </w:t>
      </w:r>
      <w:r>
        <w:rPr>
          <w:b/>
          <w:bCs/>
          <w:color w:val="13272F"/>
          <w:sz w:val="20"/>
          <w:szCs w:val="20"/>
        </w:rPr>
        <w:t xml:space="preserve">case variant generation</w:t>
      </w:r>
      <w:r>
        <w:rPr>
          <w:color w:val="13272F"/>
          <w:sz w:val="20"/>
          <w:szCs w:val="20"/>
        </w:rPr>
        <w:t xml:space="preserve"> (§4.3).</w:t>
      </w:r>
    </w:p>
    <w:p>
      <w:pPr>
        <w:pStyle w:val="Heading2"/>
        <w:spacing w:after="130" w:before="300"/>
      </w:pPr>
      <w:r>
        <w:rPr>
          <w:rFonts w:ascii="Georgia" w:cs="Georgia" w:eastAsia="Georgia" w:hAnsi="Georgia"/>
          <w:b/>
          <w:bCs/>
          <w:color w:val="1F7A8C"/>
          <w:sz w:val="25"/>
          <w:szCs w:val="25"/>
        </w:rPr>
        <w:t xml:space="preserve">Phase 8 — The controlled study</w:t>
      </w:r>
    </w:p>
    <w:p>
      <w:pPr>
        <w:spacing w:after="120" w:before="60" w:line="300"/>
      </w:pPr>
      <w:r>
        <w:rPr>
          <w:color w:val="13272F"/>
          <w:sz w:val="20"/>
          <w:szCs w:val="20"/>
        </w:rPr>
        <w:t xml:space="preserve">Ethics approval, wait-list control arm, post-study instrument, powered analysis.</w:t>
      </w:r>
    </w:p>
    <w:p>
      <w:pPr>
        <w:pBdr>
          <w:bottom w:val="single" w:color="D6E2E6" w:sz="6" w:space="2"/>
        </w:pBdr>
        <w:spacing w:after="120" w:before="120"/>
      </w:pPr>
      <w:r>
        <w:t xml:space="preserve"/>
      </w:r>
    </w:p>
    <w:p>
      <w:pPr>
        <w:spacing w:after="120" w:before="60" w:line="300"/>
      </w:pPr>
      <w:r>
        <w:rPr>
          <w:b/>
          <w:bCs/>
          <w:color w:val="13272F"/>
          <w:sz w:val="20"/>
          <w:szCs w:val="20"/>
        </w:rPr>
        <w:t xml:space="preserve">Rough total to a launchable commercial web product (Phases 0–4): ≈ 74 developer-days.</w:t>
      </w:r>
    </w:p>
    <w:p>
      <w:pPr>
        <w:spacing w:after="120" w:before="60" w:line="300"/>
      </w:pPr>
      <w:r>
        <w:rPr>
          <w:color w:val="13272F"/>
          <w:sz w:val="20"/>
          <w:szCs w:val="20"/>
        </w:rPr>
        <w:t xml:space="preserve">Mobile adds ~20. The Case Factory adds ~22 and should come after launch, not before.</w:t>
      </w:r>
    </w:p>
    <w:p>
      <w:pPr>
        <w:pStyle w:val="Heading2"/>
        <w:spacing w:after="130" w:before="300"/>
      </w:pPr>
      <w:r>
        <w:rPr>
          <w:rFonts w:ascii="Georgia" w:cs="Georgia" w:eastAsia="Georgia" w:hAnsi="Georgia"/>
          <w:b/>
          <w:bCs/>
          <w:color w:val="1F7A8C"/>
          <w:sz w:val="25"/>
          <w:szCs w:val="25"/>
        </w:rPr>
        <w:t xml:space="preserve">11.1 What to cut if you need to launch sooner</w:t>
      </w:r>
    </w:p>
    <w:p>
      <w:pPr>
        <w:spacing w:after="120" w:before="60" w:line="300"/>
      </w:pPr>
      <w:r>
        <w:rPr>
          <w:color w:val="13272F"/>
          <w:sz w:val="20"/>
          <w:szCs w:val="20"/>
        </w:rPr>
        <w:t xml:space="preserve">An honest minimum viable path: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73"/>
        <w:gridCol w:w="5487"/>
      </w:tblGrid>
      <w:tr>
        <w:trPr>
          <w:tblHeader/>
        </w:trPr>
        <w:tc>
          <w:tcPr>
            <w:tcW w:type="dxa" w:w="3873"/>
            <w:shd w:fill="13272F" w:val="clear"/>
            <w:tcMar>
              <w:top w:type="dxa" w:w="70"/>
              <w:left w:type="dxa" w:w="110"/>
              <w:bottom w:type="dxa" w:w="70"/>
              <w:right w:type="dxa" w:w="110"/>
            </w:tcMar>
          </w:tcPr>
          <w:p>
            <w:pPr>
              <w:spacing w:after="0" w:before="0"/>
            </w:pPr>
            <w:r>
              <w:rPr>
                <w:b/>
                <w:bCs/>
                <w:color w:val="FFFFFF"/>
                <w:sz w:val="17"/>
                <w:szCs w:val="17"/>
              </w:rPr>
              <w:t xml:space="preserve">Keep</w:t>
            </w:r>
          </w:p>
        </w:tc>
        <w:tc>
          <w:tcPr>
            <w:tcW w:type="dxa" w:w="5487"/>
            <w:shd w:fill="13272F" w:val="clear"/>
            <w:tcMar>
              <w:top w:type="dxa" w:w="70"/>
              <w:left w:type="dxa" w:w="110"/>
              <w:bottom w:type="dxa" w:w="70"/>
              <w:right w:type="dxa" w:w="110"/>
            </w:tcMar>
          </w:tcPr>
          <w:p>
            <w:pPr>
              <w:spacing w:after="0" w:before="0"/>
            </w:pPr>
            <w:r>
              <w:rPr>
                <w:b/>
                <w:bCs/>
                <w:color w:val="FFFFFF"/>
                <w:sz w:val="17"/>
                <w:szCs w:val="17"/>
              </w:rPr>
              <w:t xml:space="preserve">Defer</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Phase 0, 1 (foundation, accounts)</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Case Factory entirely — 5 cases is enough to launch</w:t>
            </w:r>
          </w:p>
        </w:tc>
      </w:tr>
      <w:tr>
        <w:trPr>
          <w:tblHeader w:val="false"/>
        </w:trPr>
        <w:tc>
          <w:tcPr>
            <w:tcW w:type="dxa" w:w="3873"/>
            <w:shd w:fill="F7FAFB" w:val="clear"/>
            <w:tcMar>
              <w:top w:type="dxa" w:w="70"/>
              <w:left w:type="dxa" w:w="110"/>
              <w:bottom w:type="dxa" w:w="70"/>
              <w:right w:type="dxa" w:w="110"/>
            </w:tcMar>
          </w:tcPr>
          <w:p>
            <w:pPr>
              <w:spacing w:after="0" w:before="0"/>
            </w:pPr>
            <w:r>
              <w:rPr>
                <w:color w:val="13272F"/>
                <w:sz w:val="17"/>
                <w:szCs w:val="17"/>
              </w:rPr>
              <w:t xml:space="preserve">Phase 2 P0 admin (editor + playtest)</w:t>
            </w:r>
          </w:p>
        </w:tc>
        <w:tc>
          <w:tcPr>
            <w:tcW w:type="dxa" w:w="5487"/>
            <w:shd w:fill="F7FAFB" w:val="clear"/>
            <w:tcMar>
              <w:top w:type="dxa" w:w="70"/>
              <w:left w:type="dxa" w:w="110"/>
              <w:bottom w:type="dxa" w:w="70"/>
              <w:right w:type="dxa" w:w="110"/>
            </w:tcMar>
          </w:tcPr>
          <w:p>
            <w:pPr>
              <w:spacing w:after="0" w:before="0"/>
            </w:pPr>
            <w:r>
              <w:rPr>
                <w:color w:val="13272F"/>
                <w:sz w:val="17"/>
                <w:szCs w:val="17"/>
              </w:rPr>
              <w:t xml:space="preserve">Threshold impact preview</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Phase 3 API + web</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Mobile — web-only launch is completely respectable</w:t>
            </w:r>
          </w:p>
        </w:tc>
      </w:tr>
      <w:tr>
        <w:trPr>
          <w:tblHeader w:val="false"/>
        </w:trPr>
        <w:tc>
          <w:tcPr>
            <w:tcW w:type="dxa" w:w="3873"/>
            <w:shd w:fill="F7FAFB" w:val="clear"/>
            <w:tcMar>
              <w:top w:type="dxa" w:w="70"/>
              <w:left w:type="dxa" w:w="110"/>
              <w:bottom w:type="dxa" w:w="70"/>
              <w:right w:type="dxa" w:w="110"/>
            </w:tcMar>
          </w:tcPr>
          <w:p>
            <w:pPr>
              <w:spacing w:after="0" w:before="0"/>
            </w:pPr>
            <w:r>
              <w:rPr>
                <w:color w:val="13272F"/>
                <w:sz w:val="17"/>
                <w:szCs w:val="17"/>
              </w:rPr>
              <w:t xml:space="preserve">Stripe + legal (P4-1, P4-7)</w:t>
            </w:r>
          </w:p>
        </w:tc>
        <w:tc>
          <w:tcPr>
            <w:tcW w:type="dxa" w:w="5487"/>
            <w:shd w:fill="F7FAFB" w:val="clear"/>
            <w:tcMar>
              <w:top w:type="dxa" w:w="70"/>
              <w:left w:type="dxa" w:w="110"/>
              <w:bottom w:type="dxa" w:w="70"/>
              <w:right w:type="dxa" w:w="110"/>
            </w:tcMar>
          </w:tcPr>
          <w:p>
            <w:pPr>
              <w:spacing w:after="0" w:before="0"/>
            </w:pPr>
            <w:r>
              <w:rPr>
                <w:color w:val="13272F"/>
                <w:sz w:val="17"/>
                <w:szCs w:val="17"/>
              </w:rPr>
              <w:t xml:space="preserve">Embeddings — keywords work today</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Leakage monitor (P4-3)</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Metabase — SQL by hand at first</w:t>
            </w:r>
          </w:p>
        </w:tc>
      </w:tr>
    </w:tbl>
    <w:p>
      <w:pPr>
        <w:spacing w:after="160"/>
      </w:pPr>
    </w:p>
    <w:p>
      <w:pPr>
        <w:spacing w:after="120" w:before="60" w:line="300"/>
      </w:pPr>
      <w:r>
        <w:rPr>
          <w:b/>
          <w:bCs/>
          <w:color w:val="13272F"/>
          <w:sz w:val="20"/>
          <w:szCs w:val="20"/>
        </w:rPr>
        <w:t xml:space="preserve">That is roughly 45 days to a paid web product with five cases.</w:t>
      </w:r>
      <w:r>
        <w:rPr>
          <w:color w:val="13272F"/>
          <w:sz w:val="20"/>
          <w:szCs w:val="20"/>
        </w:rPr>
        <w:t xml:space="preserve"> More cases matter more than more features — but content, not engineering, is then your constraint.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Open decisions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84"/>
        <w:gridCol w:w="1518"/>
        <w:gridCol w:w="2168"/>
        <w:gridCol w:w="4990"/>
      </w:tblGrid>
      <w:tr>
        <w:trPr>
          <w:tblHeader/>
        </w:trPr>
        <w:tc>
          <w:tcPr>
            <w:tcW w:type="dxa" w:w="68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518"/>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2168"/>
            <w:shd w:fill="13272F" w:val="clear"/>
            <w:tcMar>
              <w:top w:type="dxa" w:w="70"/>
              <w:left w:type="dxa" w:w="110"/>
              <w:bottom w:type="dxa" w:w="70"/>
              <w:right w:type="dxa" w:w="110"/>
            </w:tcMar>
          </w:tcPr>
          <w:p>
            <w:pPr>
              <w:spacing w:after="0" w:before="0"/>
            </w:pPr>
            <w:r>
              <w:rPr>
                <w:b/>
                <w:bCs/>
                <w:color w:val="FFFFFF"/>
                <w:sz w:val="17"/>
                <w:szCs w:val="17"/>
              </w:rPr>
              <w:t xml:space="preserve">Why it matters</w:t>
            </w:r>
          </w:p>
        </w:tc>
        <w:tc>
          <w:tcPr>
            <w:tcW w:type="dxa" w:w="4990"/>
            <w:shd w:fill="13272F" w:val="clear"/>
            <w:tcMar>
              <w:top w:type="dxa" w:w="70"/>
              <w:left w:type="dxa" w:w="110"/>
              <w:bottom w:type="dxa" w:w="70"/>
              <w:right w:type="dxa" w:w="110"/>
            </w:tcMar>
          </w:tcPr>
          <w:p>
            <w:pPr>
              <w:spacing w:after="0" w:before="0"/>
            </w:pPr>
            <w:r>
              <w:rPr>
                <w:b/>
                <w:bCs/>
                <w:color w:val="FFFFFF"/>
                <w:sz w:val="17"/>
                <w:szCs w:val="17"/>
              </w:rPr>
              <w:t xml:space="preserve">My recommendation</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E-1</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Free tier limits — how many cases per month?</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Determines conversion and LLM cost</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3–5/month. Enough to form a habit, not enough to satisfy</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E-2</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Pricing?</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Benchmark against medical education apps in your market; consider regional pricing — a resident in India and one in the US have very different willingness to pay</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E-3</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Launch geography?</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Affects data residency, pricing, and licensing</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Start with one market you understand</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E-4</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Incorporate now or later?</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App-store payouts and Stripe need a legal entity</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Before taking money, not before building</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E-5</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Who owns the IP?</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You, your friend, and possibly the university</w:t>
            </w:r>
          </w:p>
        </w:tc>
        <w:tc>
          <w:tcPr>
            <w:tcW w:type="dxa" w:w="4990"/>
            <w:shd w:fill="FFFFFF" w:val="clear"/>
            <w:tcMar>
              <w:top w:type="dxa" w:w="70"/>
              <w:left w:type="dxa" w:w="110"/>
              <w:bottom w:type="dxa" w:w="70"/>
              <w:right w:type="dxa" w:w="110"/>
            </w:tcMar>
          </w:tcPr>
          <w:p>
            <w:pPr>
              <w:spacing w:after="0" w:before="0"/>
            </w:pPr>
            <w:r>
              <w:rPr>
                <w:b/>
                <w:bCs/>
                <w:color w:val="13272F"/>
                <w:sz w:val="17"/>
                <w:szCs w:val="17"/>
              </w:rPr>
              <w:t xml:space="preserve">Resolve this early.</w:t>
            </w:r>
            <w:r>
              <w:rPr>
                <w:color w:val="13272F"/>
                <w:sz w:val="17"/>
                <w:szCs w:val="17"/>
              </w:rPr>
              <w:t xml:space="preserve"> University IP policies sometimes claim work done under supervision. Ask now, in writing.</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E-6</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Do the clinician reviewers get equity or payment?</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Sustainability of the arrangement</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Discuss before they have done 50 reviews for free</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E-7</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Keep publishing research?</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Credibility in medical education is largely earned through publication</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Yes — §10.3 makes it compatible with a commercial product</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E-8</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Specialty focus at launch?</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A narrow, excellent bank beats a broad, shallow one</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Pick one or two specialties and go deep</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13. Summary</w:t>
      </w:r>
    </w:p>
    <w:p>
      <w:pPr>
        <w:spacing w:after="120" w:before="60" w:line="300"/>
      </w:pPr>
      <w:r>
        <w:rPr>
          <w:b/>
          <w:bCs/>
          <w:color w:val="13272F"/>
          <w:sz w:val="20"/>
          <w:szCs w:val="20"/>
        </w:rPr>
        <w:t xml:space="preserve">What changed:</w:t>
      </w:r>
      <w:r>
        <w:rPr>
          <w:color w:val="13272F"/>
          <w:sz w:val="20"/>
          <w:szCs w:val="20"/>
        </w:rPr>
        <w:t xml:space="preserve"> the product moved from institutional B2B to consumer B2C, and gained an app-store target. That reverses the v1 frontend decision and adds accounts, subscriptions, an admin console, and commercial legal obligations.</w:t>
      </w:r>
    </w:p>
    <w:p>
      <w:pPr>
        <w:spacing w:after="120" w:before="60" w:line="300"/>
      </w:pPr>
      <w:r>
        <w:rPr>
          <w:b/>
          <w:bCs/>
          <w:color w:val="13272F"/>
          <w:sz w:val="20"/>
          <w:szCs w:val="20"/>
        </w:rPr>
        <w:t xml:space="preserve">The decisions you asked about: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4"/>
        <w:gridCol w:w="7886"/>
      </w:tblGrid>
      <w:tr>
        <w:trPr>
          <w:tblHeader/>
        </w:trPr>
        <w:tc>
          <w:tcPr>
            <w:tcW w:type="dxa" w:w="1474"/>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7886"/>
            <w:shd w:fill="13272F" w:val="clear"/>
            <w:tcMar>
              <w:top w:type="dxa" w:w="70"/>
              <w:left w:type="dxa" w:w="110"/>
              <w:bottom w:type="dxa" w:w="70"/>
              <w:right w:type="dxa" w:w="110"/>
            </w:tcMar>
          </w:tcPr>
          <w:p>
            <w:pPr>
              <w:spacing w:after="0" w:before="0"/>
            </w:pPr>
            <w:r>
              <w:rPr>
                <w:b/>
                <w:bCs/>
                <w:color w:val="FFFFFF"/>
                <w:sz w:val="17"/>
                <w:szCs w:val="17"/>
              </w:rPr>
              <w:t xml:space="preserve">Answer</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Supabase or Neon?</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Supabase, only.</w:t>
            </w:r>
            <w:r>
              <w:rPr>
                <w:color w:val="13272F"/>
                <w:sz w:val="17"/>
                <w:szCs w:val="17"/>
              </w:rPr>
              <w:t xml:space="preserve"> Neon is Postgres-only with excellent branching; Supabase is Postgres plus the auth and storage you need. Using both splits your data across two databases and breaks joins.</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Build our own auth?</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~15 days, permanent security liability, App Store complications. Supabase Auth keeps users in </w:t>
            </w:r>
            <w:r>
              <w:rPr>
                <w:i/>
                <w:iCs/>
                <w:color w:val="13272F"/>
                <w:sz w:val="17"/>
                <w:szCs w:val="17"/>
              </w:rPr>
              <w:t xml:space="preserve">your</w:t>
            </w:r>
            <w:r>
              <w:rPr>
                <w:color w:val="13272F"/>
                <w:sz w:val="17"/>
                <w:szCs w:val="17"/>
              </w:rPr>
              <w:t xml:space="preserve"> Postgres, so there is no lock-in.</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Multiple databases like that internship?</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One Postgres until ~10⁵ sessions, then a read replica, then a warehouse. Do not build step 4 at step 1.</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Which LLM?</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Five different jobs, three different models.</w:t>
            </w:r>
            <w:r>
              <w:rPr>
                <w:color w:val="13272F"/>
                <w:sz w:val="17"/>
                <w:szCs w:val="17"/>
              </w:rPr>
              <w:t xml:space="preserve"> Fast/cheap for the patient (test Groq vs GPT-4o-mini vs Haiku on </w:t>
            </w:r>
            <w:r>
              <w:rPr>
                <w:i/>
                <w:iCs/>
                <w:color w:val="13272F"/>
                <w:sz w:val="17"/>
                <w:szCs w:val="17"/>
              </w:rPr>
              <w:t xml:space="preserve">leakage rate</w:t>
            </w:r>
            <w:r>
              <w:rPr>
                <w:color w:val="13272F"/>
                <w:sz w:val="17"/>
                <w:szCs w:val="17"/>
              </w:rPr>
              <w:t xml:space="preserve">), strong for feedback, strong + </w:t>
            </w:r>
            <w:r>
              <w:rPr>
                <w:i/>
                <w:iCs/>
                <w:color w:val="13272F"/>
                <w:sz w:val="17"/>
                <w:szCs w:val="17"/>
              </w:rPr>
              <w:t xml:space="preserve">different</w:t>
            </w:r>
            <w:r>
              <w:rPr>
                <w:color w:val="13272F"/>
                <w:sz w:val="17"/>
                <w:szCs w:val="17"/>
              </w:rPr>
              <w:t xml:space="preserve"> models for Factory extraction and judging.</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Is an LLM necessary everywhere?</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No — about half the Factory needs none.</w:t>
            </w:r>
            <w:r>
              <w:rPr>
                <w:color w:val="13272F"/>
                <w:sz w:val="17"/>
                <w:szCs w:val="17"/>
              </w:rPr>
              <w:t xml:space="preserve"> Embeddings for dedup and vocabulary mapping, an NLI model for grounding, and your own detectors for the trap self-test.</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Can we build our own model?</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Yes — fine-tune, don't pretrain.</w:t>
            </w:r>
            <w:r>
              <w:rPr>
                <w:color w:val="13272F"/>
                <w:sz w:val="17"/>
                <w:szCs w:val="17"/>
              </w:rPr>
              <w:t xml:space="preserve"> Start prebuilt, collect 2 000+ pairs via the admin review queue, then fine-tune. That </w:t>
            </w:r>
            <w:r>
              <w:rPr>
                <w:i/>
                <w:iCs/>
                <w:color w:val="13272F"/>
                <w:sz w:val="17"/>
                <w:szCs w:val="17"/>
              </w:rPr>
              <w:t xml:space="preserve">is</w:t>
            </w:r>
            <w:r>
              <w:rPr>
                <w:color w:val="13272F"/>
                <w:sz w:val="17"/>
                <w:szCs w:val="17"/>
              </w:rPr>
              <w:t xml:space="preserve"> what professionals do.</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Jinja/HTMX or React/Next?</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Reversed: Next.js for the consumer app</w:t>
            </w:r>
            <w:r>
              <w:rPr>
                <w:color w:val="13272F"/>
                <w:sz w:val="17"/>
                <w:szCs w:val="17"/>
              </w:rPr>
              <w:t xml:space="preserve">, because a native app needs an API anyway and React Native shares the model. </w:t>
            </w:r>
            <w:r>
              <w:rPr>
                <w:b/>
                <w:bCs/>
                <w:color w:val="13272F"/>
                <w:sz w:val="17"/>
                <w:szCs w:val="17"/>
              </w:rPr>
              <w:t xml:space="preserve">Keep Jinja/HTMX for the admin console</w:t>
            </w:r>
            <w:r>
              <w:rPr>
                <w:color w:val="13272F"/>
                <w:sz w:val="17"/>
                <w:szCs w:val="17"/>
              </w:rPr>
              <w:t xml:space="preserve"> — different constraints, and it does not block the API work.</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Which cloud, and cost?</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None yet.</w:t>
            </w:r>
            <w:r>
              <w:rPr>
                <w:color w:val="13272F"/>
                <w:sz w:val="17"/>
                <w:szCs w:val="17"/>
              </w:rPr>
              <w:t xml:space="preserve"> Render/Railway + Supabase, ~$70–130/month at early launch, ~$10–25/month before. Move to GCP Cloud Run only on a measured reason. Apply for startup credits now.</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Domain?</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Yes, ~$10–15/year.</w:t>
            </w:r>
            <w:r>
              <w:rPr>
                <w:color w:val="13272F"/>
                <w:sz w:val="17"/>
                <w:szCs w:val="17"/>
              </w:rPr>
              <w:t xml:space="preserve"> Register early, Cloudflare or Namecheap, prefer </w:t>
            </w:r>
            <w:r>
              <w:rPr>
                <w:rFonts w:ascii="Consolas" w:cs="Consolas" w:eastAsia="Consolas" w:hAnsi="Consolas"/>
                <w:color w:val="B3651F"/>
                <w:sz w:val="15"/>
                <w:szCs w:val="15"/>
              </w:rPr>
              <w:t xml:space="preserve">.com</w:t>
            </w:r>
            <w:r>
              <w:rPr>
                <w:color w:val="13272F"/>
                <w:sz w:val="17"/>
                <w:szCs w:val="17"/>
              </w:rPr>
              <w:t xml:space="preserve">.</w:t>
            </w:r>
          </w:p>
        </w:tc>
      </w:tr>
    </w:tbl>
    <w:p>
      <w:pPr>
        <w:spacing w:after="160"/>
      </w:pPr>
    </w:p>
    <w:p>
      <w:pPr>
        <w:spacing w:after="120" w:before="60" w:line="300"/>
      </w:pPr>
      <w:r>
        <w:rPr>
          <w:b/>
          <w:bCs/>
          <w:color w:val="13272F"/>
          <w:sz w:val="20"/>
          <w:szCs w:val="20"/>
        </w:rPr>
        <w:t xml:space="preserve">The three things I would do first:</w:t>
      </w:r>
    </w:p>
    <w:p>
      <w:pPr>
        <w:pStyle w:val="ListParagraph"/>
        <w:numPr>
          <w:ilvl w:val="0"/>
          <w:numId w:val="2"/>
        </w:numPr>
        <w:spacing w:after="40" w:before="40" w:line="280"/>
      </w:pPr>
      <w:r>
        <w:rPr>
          <w:b/>
          <w:bCs/>
          <w:color w:val="13272F"/>
          <w:sz w:val="20"/>
          <w:szCs w:val="20"/>
        </w:rPr>
        <w:t xml:space="preserve">Phase 2 P0 — the case editor and Playtest.</w:t>
      </w:r>
      <w:r>
        <w:rPr>
          <w:color w:val="13272F"/>
          <w:sz w:val="20"/>
          <w:szCs w:val="20"/>
        </w:rPr>
        <w:t xml:space="preserve"> Until your clinicians can review cases without reading Python, your content pipeline is one person wide.</w:t>
      </w:r>
    </w:p>
    <w:p>
      <w:pPr>
        <w:pStyle w:val="ListParagraph"/>
        <w:numPr>
          <w:ilvl w:val="0"/>
          <w:numId w:val="2"/>
        </w:numPr>
        <w:spacing w:after="40" w:before="40" w:line="280"/>
      </w:pPr>
      <w:r>
        <w:rPr>
          <w:b/>
          <w:bCs/>
          <w:color w:val="13272F"/>
          <w:sz w:val="20"/>
          <w:szCs w:val="20"/>
        </w:rPr>
        <w:t xml:space="preserve">The leakage monitor.</w:t>
      </w:r>
      <w:r>
        <w:rPr>
          <w:color w:val="13272F"/>
          <w:sz w:val="20"/>
          <w:szCs w:val="20"/>
        </w:rPr>
        <w:t xml:space="preserve"> It is the largest threat to the thing that makes your product different, and it is currently invisible.</w:t>
      </w:r>
    </w:p>
    <w:p>
      <w:pPr>
        <w:pStyle w:val="ListParagraph"/>
        <w:numPr>
          <w:ilvl w:val="0"/>
          <w:numId w:val="2"/>
        </w:numPr>
        <w:spacing w:after="40" w:before="40" w:line="280"/>
      </w:pPr>
      <w:r>
        <w:rPr>
          <w:b/>
          <w:bCs/>
          <w:color w:val="13272F"/>
          <w:sz w:val="20"/>
          <w:szCs w:val="20"/>
        </w:rPr>
        <w:t xml:space="preserve">Verify dataset licences (§9.1)</w:t>
      </w:r>
      <w:r>
        <w:rPr>
          <w:color w:val="13272F"/>
          <w:sz w:val="20"/>
          <w:szCs w:val="20"/>
        </w:rPr>
        <w:t xml:space="preserve"> before writing a line of Case Factory code. Building on a non-commercial corpus is the one mistake here that is genuinely expensive to undo.</w:t>
      </w:r>
    </w:p>
    <w:p>
      <w:pPr>
        <w:pBdr>
          <w:bottom w:val="single" w:color="D6E2E6" w:sz="6" w:space="2"/>
        </w:pBdr>
        <w:spacing w:after="120" w:before="120"/>
      </w:pPr>
      <w:r>
        <w:t xml:space="preserve"/>
      </w:r>
    </w:p>
    <w:p>
      <w:pPr>
        <w:spacing w:after="120" w:before="60" w:line="300"/>
      </w:pPr>
      <w:r>
        <w:rPr>
          <w:i/>
          <w:iCs/>
          <w:color w:val="13272F"/>
          <w:sz w:val="20"/>
          <w:szCs w:val="20"/>
        </w:rPr>
        <w:t xml:space="preserve">End of document. §12 requires decisions before 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Nidan — System Design &amp; Engineering Specification</dc:title>
  <dc:creator>Vraj Patel, Yogesh Bagotia</dc:creator>
  <cp:lastModifiedBy>Un-named</cp:lastModifiedBy>
  <cp:revision>1</cp:revision>
  <dcterms:created xsi:type="dcterms:W3CDTF">2026-09-11T05:12:22.132Z</dcterms:created>
  <dcterms:modified xsi:type="dcterms:W3CDTF">2026-09-11T05:12:22.133Z</dcterms:modified>
</cp:coreProperties>
</file>

<file path=docProps/custom.xml><?xml version="1.0" encoding="utf-8"?>
<Properties xmlns="http://schemas.openxmlformats.org/officeDocument/2006/custom-properties" xmlns:vt="http://schemas.openxmlformats.org/officeDocument/2006/docPropsVTypes"/>
</file>