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16 architecture decisions, one page each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Nidan — Decision Records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Accepted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specification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decision per record. </w:t>
      </w:r>
      <w:r>
        <w:rPr>
          <w:b/>
          <w:bCs/>
          <w:color w:val="13272F"/>
          <w:sz w:val="20"/>
          <w:szCs w:val="20"/>
        </w:rPr>
        <w:t xml:space="preserve">Accepted ADRs are never edited</w:t>
      </w:r>
      <w:r>
        <w:rPr>
          <w:color w:val="13272F"/>
          <w:sz w:val="20"/>
          <w:szCs w:val="20"/>
        </w:rPr>
        <w:t xml:space="preserve"> — they are superseded by a new record.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ADR-0001 · PostgreSQL with pgvector, hosted on Supabase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We need persistent storage for users, cases, sessions, an append-only event log, and vector embeddings for semantic topic matching. The team is two developers with no dedicated ops capacity. Data is strongly relational: a session belongs to a user, a case </w:t>
      </w:r>
      <w:r>
        <w:rPr>
          <w:i/>
          <w:iCs/>
          <w:color w:val="13272F"/>
          <w:sz w:val="20"/>
          <w:szCs w:val="20"/>
        </w:rPr>
        <w:t xml:space="preserve">version</w:t>
      </w:r>
      <w:r>
        <w:rPr>
          <w:color w:val="13272F"/>
          <w:sz w:val="20"/>
          <w:szCs w:val="20"/>
        </w:rPr>
        <w:t xml:space="preserve">, and an experiment arm.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 a single PostgreSQL 16 database with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pgvector</w:t>
      </w:r>
      <w:r>
        <w:rPr>
          <w:color w:val="13272F"/>
          <w:sz w:val="20"/>
          <w:szCs w:val="20"/>
        </w:rPr>
        <w:t xml:space="preserve"> extension, hosted on Supabase. One database, one provider.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06"/>
        <w:gridCol w:w="7154"/>
      </w:tblGrid>
      <w:tr>
        <w:trPr>
          <w:tblHeader/>
        </w:trPr>
        <w:tc>
          <w:tcPr>
            <w:tcW w:type="dxa" w:w="22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15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Neon</w:t>
            </w:r>
          </w:p>
        </w:tc>
        <w:tc>
          <w:tcPr>
            <w:tcW w:type="dxa" w:w="71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Postgres-only. Excellent branching, but no auth or storage, and we need both.</w:t>
            </w:r>
          </w:p>
        </w:tc>
      </w:tr>
      <w:tr>
        <w:trPr>
          <w:tblHeader w:val="false"/>
        </w:trPr>
        <w:tc>
          <w:tcPr>
            <w:tcW w:type="dxa" w:w="2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MongoDB</w:t>
            </w:r>
          </w:p>
        </w:tc>
        <w:tc>
          <w:tcPr>
            <w:tcW w:type="dxa" w:w="71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Data is relational; document modelling would force duplication or client-side joins.</w:t>
            </w:r>
          </w:p>
        </w:tc>
      </w:tr>
      <w:tr>
        <w:trPr>
          <w:tblHeader w:val="false"/>
        </w:trPr>
        <w:tc>
          <w:tcPr>
            <w:tcW w:type="dxa" w:w="2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SQLite</w:t>
            </w:r>
          </w:p>
        </w:tc>
        <w:tc>
          <w:tcPr>
            <w:tcW w:type="dxa" w:w="71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Single-writer lock fails under multiple workers.</w:t>
            </w:r>
          </w:p>
        </w:tc>
      </w:tr>
      <w:tr>
        <w:trPr>
          <w:tblHeader w:val="false"/>
        </w:trPr>
        <w:tc>
          <w:tcPr>
            <w:tcW w:type="dxa" w:w="2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Firebase</w:t>
            </w:r>
          </w:p>
        </w:tc>
        <w:tc>
          <w:tcPr>
            <w:tcW w:type="dxa" w:w="71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NoSQL; unsuited to paired statistical analysis.</w:t>
            </w:r>
          </w:p>
        </w:tc>
      </w:tr>
      <w:tr>
        <w:trPr>
          <w:tblHeader w:val="false"/>
        </w:trPr>
        <w:tc>
          <w:tcPr>
            <w:tcW w:type="dxa" w:w="2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 + separate vector DB</w:t>
            </w:r>
          </w:p>
        </w:tc>
        <w:tc>
          <w:tcPr>
            <w:tcW w:type="dxa" w:w="71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Two datastores and two failure modes for ~10³–10⁴ vectors.</w:t>
            </w:r>
          </w:p>
        </w:tc>
      </w:tr>
      <w:tr>
        <w:trPr>
          <w:tblHeader w:val="false"/>
        </w:trPr>
        <w:tc>
          <w:tcPr>
            <w:tcW w:type="dxa" w:w="2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 + Neon together</w:t>
            </w:r>
          </w:p>
        </w:tc>
        <w:tc>
          <w:tcPr>
            <w:tcW w:type="dxa" w:w="71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Actively broken</w:t>
            </w:r>
            <w:r>
              <w:rPr>
                <w:color w:val="13272F"/>
                <w:sz w:val="17"/>
                <w:szCs w:val="17"/>
              </w:rPr>
              <w:t xml:space="preserve"> — users and sessions in separate databases means no foreign keys and no joins.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JSONB</w:t>
      </w:r>
      <w:r>
        <w:rPr>
          <w:color w:val="13272F"/>
          <w:sz w:val="20"/>
          <w:szCs w:val="20"/>
        </w:rPr>
        <w:t xml:space="preserve"> covers evolving detector output without migrations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pgvector</w:t>
      </w:r>
      <w:r>
        <w:rPr>
          <w:color w:val="13272F"/>
          <w:sz w:val="20"/>
          <w:szCs w:val="20"/>
        </w:rPr>
        <w:t xml:space="preserve"> handles embeddings in the same engine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Window functions support paired statistical analysis directly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Free tier covers pilot scale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Inherits Supabase availability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Forgoes Neon's per-PR database branching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Revisit vector storage past ~10⁶ vectors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ADR-0002 · Supabase Auth rather than custom authentication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product needs accounts, OAuth, and password reset. App Store policy requires Sign in with Apple if any other social login is offered. The team has no security reviewer, and a mistake here compromises medical professionals' accounts.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Delegate authentication to Supabase Auth. Verify JWTs in the backend; never handle passwords.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14"/>
        <w:gridCol w:w="7946"/>
      </w:tblGrid>
      <w:tr>
        <w:trPr>
          <w:tblHeader/>
        </w:trPr>
        <w:tc>
          <w:tcPr>
            <w:tcW w:type="dxa" w:w="141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9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14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our own</w:t>
            </w:r>
          </w:p>
        </w:tc>
        <w:tc>
          <w:tcPr>
            <w:tcW w:type="dxa" w:w="79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~15 developer-days, permanent security liability, App Store risk, zero differentiating value.</w:t>
            </w:r>
          </w:p>
        </w:tc>
      </w:tr>
      <w:tr>
        <w:trPr>
          <w:tblHeader w:val="false"/>
        </w:trPr>
        <w:tc>
          <w:tcPr>
            <w:tcW w:type="dxa" w:w="14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Clerk</w:t>
            </w:r>
          </w:p>
        </w:tc>
        <w:tc>
          <w:tcPr>
            <w:tcW w:type="dxa" w:w="79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Good, but a second vendor alongside Supabase-the-database.</w:t>
            </w:r>
          </w:p>
        </w:tc>
      </w:tr>
      <w:tr>
        <w:trPr>
          <w:tblHeader w:val="false"/>
        </w:trPr>
        <w:tc>
          <w:tcPr>
            <w:tcW w:type="dxa" w:w="14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Auth0</w:t>
            </w:r>
          </w:p>
        </w:tc>
        <w:tc>
          <w:tcPr>
            <w:tcW w:type="dxa" w:w="79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Enterprise pricing, overkill.</w:t>
            </w:r>
          </w:p>
        </w:tc>
      </w:tr>
      <w:tr>
        <w:trPr>
          <w:tblHeader w:val="false"/>
        </w:trPr>
        <w:tc>
          <w:tcPr>
            <w:tcW w:type="dxa" w:w="14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Firebase Auth</w:t>
            </w:r>
          </w:p>
        </w:tc>
        <w:tc>
          <w:tcPr>
            <w:tcW w:type="dxa" w:w="79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Users in Google's system, data in Postgres — the split-brain problem of ADR-0001.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~1 day to integrate versus ~15 to 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Users live in our own Postgres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auth.users</w:t>
      </w:r>
      <w:r>
        <w:rPr>
          <w:color w:val="13272F"/>
          <w:sz w:val="20"/>
          <w:szCs w:val="20"/>
        </w:rPr>
        <w:t xml:space="preserve">) — no data lock-in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Google and Apple OAuth handled, including Apple private-relay emails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Free to 50 000 monthly active users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Auth availability is now a dependency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Some customisation of email templates is constrained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ADR-0003 · Event-sourced session state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Session state currently lives in a process-local dictionary, so a restart loses in-flight consultations and the app cannot run more than one worker. Separately, the pilot's data-integrity check worked by recomputing bias flags from stored questions — which is event sourcing in all but name.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Persist every consultation action as an append-only row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</w:t>
      </w:r>
      <w:r>
        <w:rPr>
          <w:color w:val="13272F"/>
          <w:sz w:val="20"/>
          <w:szCs w:val="20"/>
        </w:rPr>
        <w:t xml:space="preserve">. Derive session state and all assessment results by replaying that log.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070"/>
        <w:gridCol w:w="7290"/>
      </w:tblGrid>
      <w:tr>
        <w:trPr>
          <w:tblHeader/>
        </w:trPr>
        <w:tc>
          <w:tcPr>
            <w:tcW w:type="dxa" w:w="20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29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Redis for session state</w:t>
            </w:r>
          </w:p>
        </w:tc>
        <w:tc>
          <w:tcPr>
            <w:tcW w:type="dxa" w:w="72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Adds a second stateful service to solve a problem Postgres already solves at this scale.</w:t>
            </w:r>
          </w:p>
        </w:tc>
      </w:tr>
      <w:tr>
        <w:trPr>
          <w:tblHeader w:val="false"/>
        </w:trPr>
        <w:tc>
          <w:tcPr>
            <w:tcW w:type="dxa" w:w="2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Signed client-side cookie</w:t>
            </w:r>
          </w:p>
        </w:tc>
        <w:tc>
          <w:tcPr>
            <w:tcW w:type="dxa" w:w="72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KB limit; transcripts exceed it; and it would let a user tamper with assessment input.</w:t>
            </w:r>
          </w:p>
        </w:tc>
      </w:tr>
      <w:tr>
        <w:trPr>
          <w:tblHeader w:val="false"/>
        </w:trPr>
        <w:tc>
          <w:tcPr>
            <w:tcW w:type="dxa" w:w="2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Sticky sessions</w:t>
            </w:r>
          </w:p>
        </w:tc>
        <w:tc>
          <w:tcPr>
            <w:tcW w:type="dxa" w:w="72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Preserves the data-loss bug rather than fixing it.</w:t>
            </w:r>
          </w:p>
        </w:tc>
      </w:tr>
      <w:tr>
        <w:trPr>
          <w:tblHeader w:val="false"/>
        </w:trPr>
        <w:tc>
          <w:tcPr>
            <w:tcW w:type="dxa" w:w="2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Mutable session row</w:t>
            </w:r>
          </w:p>
        </w:tc>
        <w:tc>
          <w:tcPr>
            <w:tcW w:type="dxa" w:w="72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Loses the ability to replay and recompute.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Consultations survive restarts and support multiple workers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Threshold changes can be evaluated by replaying history (enables calibration)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Per-event timestamps give think-time data we currently discard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Any published result traces to an immutable sequence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One extra table and a reconstruction function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Reconstruction cost per request (negligible at ~20 events)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ADR-0004 · Rule-based bias detection, not machine learning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three detectors must produce feedback a learner can act on. We have 16 real sessions — nowhere near enough to train a classifier. The detectors were validated at 94 % accuracy with 100 % sensitivity.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Detection stays rule-based and deterministic. Every flag returns a human-readable reason and the evidence that triggered 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891"/>
        <w:gridCol w:w="6469"/>
      </w:tblGrid>
      <w:tr>
        <w:trPr>
          <w:tblHeader/>
        </w:trPr>
        <w:tc>
          <w:tcPr>
            <w:tcW w:type="dxa" w:w="28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64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Train a classifier on session features</w:t>
            </w:r>
          </w:p>
        </w:tc>
        <w:tc>
          <w:tcPr>
            <w:tcW w:type="dxa" w:w="64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labelled corpus; 16 sessions is noise; destroys traceability.</w:t>
            </w:r>
          </w:p>
        </w:tc>
      </w:tr>
      <w:tr>
        <w:trPr>
          <w:tblHeader w:val="false"/>
        </w:trPr>
        <w:tc>
          <w:tcPr>
            <w:tcW w:type="dxa" w:w="2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LLM-as-judge for bias detection</w:t>
            </w:r>
          </w:p>
        </w:tc>
        <w:tc>
          <w:tcPr>
            <w:tcW w:type="dxa" w:w="64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Non-deterministic, unauditable, and would put the LLM in the marking path (ADR-0005).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Every flag is explainable and contestable — the property that makes feedback teachable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Deterministic, so results are reproducible and verifiable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Fast (microseconds) and free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Bounded by lexical coverage; paraphrased questions are missed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Thresholds are heuristic, not calibrated (see ADR-0013)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Revisit only with 10³+ labelled sessions, and then as a comparator, not a replacement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ADR-0005 · The LLM is excluded from the marking path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system uses an LLM for the patient persona and for feedback prose. Assessment results must be reproducible for research credibility and for the data-integrity check.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LLM generates text only. Every flag, score, coverage figure and verdict is computed by deterministic Python. No assessment decision is delegated to a model.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18"/>
        <w:gridCol w:w="7142"/>
      </w:tblGrid>
      <w:tr>
        <w:trPr>
          <w:tblHeader/>
        </w:trPr>
        <w:tc>
          <w:tcPr>
            <w:tcW w:type="dxa" w:w="22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1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2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scores the consultation</w:t>
            </w:r>
          </w:p>
        </w:tc>
        <w:tc>
          <w:tcPr>
            <w:tcW w:type="dxa" w:w="71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Non-reproducible at temperature &gt; 0; unauditable; would have made the pilot integrity check impossible.</w:t>
            </w:r>
          </w:p>
        </w:tc>
      </w:tr>
      <w:tr>
        <w:trPr>
          <w:tblHeader w:val="false"/>
        </w:trPr>
        <w:tc>
          <w:tcPr>
            <w:tcW w:type="dxa" w:w="22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Hybrid — LLM adjusts rule output</w:t>
            </w:r>
          </w:p>
        </w:tc>
        <w:tc>
          <w:tcPr>
            <w:tcW w:type="dxa" w:w="71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Inherits the worst of both: non-determinism without interpretability.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Recomputation from stored questions verifies data authenticity (used in the pilot)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Threshold replay is possible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Assessment latency is sub-millisecond and free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Removes an entire class of prompt-injection attack on grading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Assessment quality is bounded by rule quality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ADR-0006 · Next.js for the consumer app, Jinja + HTMX for admin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01"/>
        <w:gridCol w:w="7659"/>
      </w:tblGrid>
      <w:tr>
        <w:trPr>
          <w:tblHeader/>
        </w:trPr>
        <w:tc>
          <w:tcPr>
            <w:tcW w:type="dxa" w:w="170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65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6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170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76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17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76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170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76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reverses an earlier Jinja-only recommendation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original recommendation was server-rendered Jinja + HTMX throughout, on the assumption that no mobile app meant no API was needed. The product now targets native apps, which require a JSON API. React Native shares concepts and code with React; Jinja templates share nothing with a mobile app.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Consumer web app in Next.js + TypeScript. Mobile in React Native + Expo, reusing the API client. Admin console stays Jinja + HTMX.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135"/>
        <w:gridCol w:w="7225"/>
      </w:tblGrid>
      <w:tr>
        <w:trPr>
          <w:tblHeader/>
        </w:trPr>
        <w:tc>
          <w:tcPr>
            <w:tcW w:type="dxa" w:w="213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2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1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Jinja + HTMX everywhere</w:t>
            </w:r>
          </w:p>
        </w:tc>
        <w:tc>
          <w:tcPr>
            <w:tcW w:type="dxa" w:w="7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Means writing the frontend twice once mobile arrives (~22–31 days of migration).</w:t>
            </w:r>
          </w:p>
        </w:tc>
      </w:tr>
      <w:tr>
        <w:trPr>
          <w:tblHeader w:val="false"/>
        </w:trPr>
        <w:tc>
          <w:tcPr>
            <w:tcW w:type="dxa" w:w="213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Next.js everywhere including admin</w:t>
            </w:r>
          </w:p>
        </w:tc>
        <w:tc>
          <w:tcPr>
            <w:tcW w:type="dxa" w:w="72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is internal, form-heavy, low-traffic — server rendering genuinely wins there, and it does not block API work.</w:t>
            </w:r>
          </w:p>
        </w:tc>
      </w:tr>
      <w:tr>
        <w:trPr>
          <w:tblHeader w:val="false"/>
        </w:trPr>
        <w:tc>
          <w:tcPr>
            <w:tcW w:type="dxa" w:w="21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Vue / Svelte</w:t>
            </w:r>
          </w:p>
        </w:tc>
        <w:tc>
          <w:tcPr>
            <w:tcW w:type="dxa" w:w="7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React Native equivalent with comparable maturity.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The API is built once and serves web, mobile, and any future client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React knowledge transfers to React Native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Admin console can be built in parallel without blocking API work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~8–10 extra days of initial effort versus Jinja-only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JavaScript dependency churn is a real ongoing cost; mitigate by keeping dependencies minimal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ADR-0007 · Retain Flask; do not migrate to FastAPI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existing backend is Flask and works. The team knows it. FastAPI offers native async, automatic OpenAPI, and Pydantic integration.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Stay on Flask. Add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apiflask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flask-pydantic</w:t>
      </w:r>
      <w:r>
        <w:rPr>
          <w:color w:val="13272F"/>
          <w:sz w:val="20"/>
          <w:szCs w:val="20"/>
        </w:rPr>
        <w:t xml:space="preserve"> for typed request/response schemas and generated OpenAPI documentation.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74"/>
        <w:gridCol w:w="7986"/>
      </w:tblGrid>
      <w:tr>
        <w:trPr>
          <w:tblHeader/>
        </w:trPr>
        <w:tc>
          <w:tcPr>
            <w:tcW w:type="dxa" w:w="137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9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137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Migrate to FastAPI</w:t>
            </w:r>
          </w:p>
        </w:tc>
        <w:tc>
          <w:tcPr>
            <w:tcW w:type="dxa" w:w="79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rewrite of the HTTP layer for benefits largely obtainable by adding a library — while simultaneously adding a database and a new frontend. Three destabilising changes at once.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Zero migration cost; existing routes and tests keep working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Typed schemas and OpenAPI obtained via library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No native async; concurrent LLM calls handled with threads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Revisit only if async concurrency becomes a measured bottleneck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ADR-0008 · Deploy to Render (or Railway), not Vercel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brief proposed Vercel. Vercel runs Python as serverless functions with execution-time caps and cold starts. Our app is a persistent server-rendered Python service that loads an embedding model and makes multi-second LLM calls with retries.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Deploy as a Docker web service on Render (Railway equivalent). Managed Postgres via Supabase. Revisit Vercel only if the frontend is split out as a standalone Next.js deployment.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962"/>
        <w:gridCol w:w="7398"/>
      </w:tblGrid>
      <w:tr>
        <w:trPr>
          <w:tblHeader/>
        </w:trPr>
        <w:tc>
          <w:tcPr>
            <w:tcW w:type="dxa" w:w="196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39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19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Vercel</w:t>
            </w:r>
          </w:p>
        </w:tc>
        <w:tc>
          <w:tcPr>
            <w:tcW w:type="dxa" w:w="73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Serverless model conflicts with persistent process, embedding-model load time, and long LLM calls.</w:t>
            </w:r>
          </w:p>
        </w:tc>
      </w:tr>
      <w:tr>
        <w:trPr>
          <w:tblHeader w:val="false"/>
        </w:trPr>
        <w:tc>
          <w:tcPr>
            <w:tcW w:type="dxa" w:w="196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AWS / GCP / Azure directly</w:t>
            </w:r>
          </w:p>
        </w:tc>
        <w:tc>
          <w:tcPr>
            <w:tcW w:type="dxa" w:w="73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Construction kits; unnecessary operational surface for one service and one database at this stage.</w:t>
            </w:r>
          </w:p>
        </w:tc>
      </w:tr>
      <w:tr>
        <w:trPr>
          <w:tblHeader w:val="false"/>
        </w:trPr>
        <w:tc>
          <w:tcPr>
            <w:tcW w:type="dxa" w:w="19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Self-hosted VPS</w:t>
            </w:r>
          </w:p>
        </w:tc>
        <w:tc>
          <w:tcPr>
            <w:tcW w:type="dxa" w:w="73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ops owner.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Docker-native deploys, persistent processes, cron for the Case Factory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Free tier adequate for pilot; ~$25/month at early launch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Containerisation keeps migration cost low if we outgrow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Less control than a hyperscaler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Move to GCP Cloud Run when the bill passes roughly $500/month or a structural need appears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ADR-0009 · Modular monolith, not microservices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system has a web app, an assessment engine, an LLM gateway, and an offline Case Factory. Two developers, no dedicated ops.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Single deployable application with enforced internal layering: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must not import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</w:t>
      </w:r>
      <w:r>
        <w:rPr>
          <w:color w:val="13272F"/>
          <w:sz w:val="20"/>
          <w:szCs w:val="20"/>
        </w:rPr>
        <w:t xml:space="preserve">, checked by import-linter in CI. The Case Factory runs as a separate process because it is a batch job, not because it is a separate service.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651"/>
        <w:gridCol w:w="7709"/>
      </w:tblGrid>
      <w:tr>
        <w:trPr>
          <w:tblHeader/>
        </w:trPr>
        <w:tc>
          <w:tcPr>
            <w:tcW w:type="dxa" w:w="165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7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16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Microservices</w:t>
            </w:r>
          </w:p>
        </w:tc>
        <w:tc>
          <w:tcPr>
            <w:tcW w:type="dxa" w:w="77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Distributed transactions and network failure modes for a workload that fits on one small instance.</w:t>
            </w:r>
          </w:p>
        </w:tc>
      </w:tr>
      <w:tr>
        <w:trPr>
          <w:tblHeader w:val="false"/>
        </w:trPr>
        <w:tc>
          <w:tcPr>
            <w:tcW w:type="dxa" w:w="16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Unstructured monolith</w:t>
            </w:r>
          </w:p>
        </w:tc>
        <w:tc>
          <w:tcPr>
            <w:tcW w:type="dxa" w:w="77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current state; assessment logic is not independently testable.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Separation of concerns without network boundaries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Domain layer unit-testable with no database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One thing to deploy, monitor, and debug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Requires discipline to maintain the import boundary (automated in CI)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ADR-0010 · Cases are immutable and versioned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session's results are only interpretable in the context of the exact case content the learner saw. Editing a published case would silently invalidate historical data.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</w:t>
      </w:r>
      <w:r>
        <w:rPr>
          <w:color w:val="13272F"/>
          <w:sz w:val="20"/>
          <w:szCs w:val="20"/>
        </w:rPr>
        <w:t xml:space="preserve"> holds identity;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</w:t>
      </w:r>
      <w:r>
        <w:rPr>
          <w:color w:val="13272F"/>
          <w:sz w:val="20"/>
          <w:szCs w:val="20"/>
        </w:rPr>
        <w:t xml:space="preserve"> holds immutable content. Sessions reference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case_version_id</w:t>
      </w:r>
      <w:r>
        <w:rPr>
          <w:color w:val="13272F"/>
          <w:sz w:val="20"/>
          <w:szCs w:val="20"/>
        </w:rPr>
        <w:t xml:space="preserve">, never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case_id</w:t>
      </w:r>
      <w:r>
        <w:rPr>
          <w:color w:val="13272F"/>
          <w:sz w:val="20"/>
          <w:szCs w:val="20"/>
        </w:rPr>
        <w:t xml:space="preserve">. Editing a published case creates a new draft version.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91"/>
        <w:gridCol w:w="6669"/>
      </w:tblGrid>
      <w:tr>
        <w:trPr>
          <w:tblHeader/>
        </w:trPr>
        <w:tc>
          <w:tcPr>
            <w:tcW w:type="dxa" w:w="26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66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Mutable case rows</w:t>
            </w:r>
          </w:p>
        </w:tc>
        <w:tc>
          <w:tcPr>
            <w:tcW w:type="dxa" w:w="6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Historical results become uninterpretable after any edit.</w:t>
            </w:r>
          </w:p>
        </w:tc>
      </w:tr>
      <w:tr>
        <w:trPr>
          <w:tblHeader w:val="false"/>
        </w:trPr>
        <w:tc>
          <w:tcPr>
            <w:tcW w:type="dxa" w:w="2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Full-database snapshots</w:t>
            </w:r>
          </w:p>
        </w:tc>
        <w:tc>
          <w:tcPr>
            <w:tcW w:type="dxa" w:w="66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Heavy and does not localise the problem.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Historical results remain valid indefinitely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Clinical review attaches to a specific, frozen version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Enables safe A/B testing of case variants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More rows and a slightly more complex publish flow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ADR-0011 · Per-job LLM routing rather than one model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system makes model calls for five purposes — patient roleplay, feedback, case extraction, quality judging, grounding — with materially different requirements for latency, cost, and capability.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Route each purpose to an appropriate model through a single gateway abstraction. Cheap and fast for the high-volume patient turn; stronger models for the once-per-session feedback and for offline Case Factory work. The Factory's judge must be a </w:t>
      </w:r>
      <w:r>
        <w:rPr>
          <w:i/>
          <w:iCs/>
          <w:color w:val="13272F"/>
          <w:sz w:val="20"/>
          <w:szCs w:val="20"/>
        </w:rPr>
        <w:t xml:space="preserve">different</w:t>
      </w:r>
      <w:r>
        <w:rPr>
          <w:color w:val="13272F"/>
          <w:sz w:val="20"/>
          <w:szCs w:val="20"/>
        </w:rPr>
        <w:t xml:space="preserve"> model from its extractor.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484"/>
        <w:gridCol w:w="6876"/>
      </w:tblGrid>
      <w:tr>
        <w:trPr>
          <w:tblHeader/>
        </w:trPr>
        <w:tc>
          <w:tcPr>
            <w:tcW w:type="dxa" w:w="24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687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4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One model for everything</w:t>
            </w:r>
          </w:p>
        </w:tc>
        <w:tc>
          <w:tcPr>
            <w:tcW w:type="dxa" w:w="68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Either overpays on the high-volume path or under-delivers on structured extraction.</w:t>
            </w:r>
          </w:p>
        </w:tc>
      </w:tr>
      <w:tr>
        <w:trPr>
          <w:tblHeader w:val="false"/>
        </w:trPr>
        <w:tc>
          <w:tcPr>
            <w:tcW w:type="dxa" w:w="24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 model extracts and judges</w:t>
            </w:r>
          </w:p>
        </w:tc>
        <w:tc>
          <w:tcPr>
            <w:tcW w:type="dxa" w:w="68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Correlated errors; a model does not catch its own blind spots.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Cost optimised where volume is high, quality where it is visible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Provider switching is a configuration change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Decorrelated errors in the Factory QA gate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More configuration surface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Requires per-purpose cost accounting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ADR-0012 · Natural Language Inference for grounding, not an LLM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Case Factory must verify that every generated clinical fact is supported by its source record. This is textual entailment — a well-defined classification task with purpose-built models.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 a DeBERTa-class NLI model for the grounding check, escalating to an LLM only for cases the NLI model marks uncertain.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06"/>
        <w:gridCol w:w="7154"/>
      </w:tblGrid>
      <w:tr>
        <w:trPr>
          <w:tblHeader/>
        </w:trPr>
        <w:tc>
          <w:tcPr>
            <w:tcW w:type="dxa" w:w="22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15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for every grounding check</w:t>
            </w:r>
          </w:p>
        </w:tc>
        <w:tc>
          <w:tcPr>
            <w:tcW w:type="dxa" w:w="71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Slower, more expensive, and non-deterministic for a task that is fundamentally classification.</w:t>
            </w:r>
          </w:p>
        </w:tc>
      </w:tr>
      <w:tr>
        <w:trPr>
          <w:tblHeader w:val="false"/>
        </w:trPr>
        <w:tc>
          <w:tcPr>
            <w:tcW w:type="dxa" w:w="2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String matching only</w:t>
            </w:r>
          </w:p>
        </w:tc>
        <w:tc>
          <w:tcPr>
            <w:tcW w:type="dxa" w:w="71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Misses paraphrase; too brittle.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Deterministic and auditable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Runs on CPU at no per-call cost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More appropriate to the task than open-ended generation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One more model artefact to version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Requires a confidence threshold for escalation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ADR-0013 · Prebuilt embeddings first; fine-tune later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Keyword matching caused every detector error observed in validation. Semantic matching would fix it. Training an embedding model from scratch is not viable; fine-tuning requires labelled pairs we do not yet have.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Ship with a prebuilt sentence-transformer in a hybrid keyword-plus-embedding matcher. Collect labelled pairs through an admin review queue. Fine-tune once ~2 000 pairs exist, and only ship the fine-tuned model if it beats the baseline on a held-out set.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90"/>
        <w:gridCol w:w="7470"/>
      </w:tblGrid>
      <w:tr>
        <w:trPr>
          <w:tblHeader/>
        </w:trPr>
        <w:tc>
          <w:tcPr>
            <w:tcW w:type="dxa" w:w="189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4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1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Train from scratch</w:t>
            </w:r>
          </w:p>
        </w:tc>
        <w:tc>
          <w:tcPr>
            <w:tcW w:type="dxa" w:w="74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Millions of pairs, multi-GPU weeks — not viable for this team, and unnecessary.</w:t>
            </w:r>
          </w:p>
        </w:tc>
      </w:tr>
      <w:tr>
        <w:trPr>
          <w:tblHeader w:val="false"/>
        </w:trPr>
        <w:tc>
          <w:tcPr>
            <w:tcW w:type="dxa" w:w="18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Fine-tune immediately</w:t>
            </w:r>
          </w:p>
        </w:tc>
        <w:tc>
          <w:tcPr>
            <w:tcW w:type="dxa" w:w="74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Would overfit on a few hundred hand-made pairs and perform worse than the baseline.</w:t>
            </w:r>
          </w:p>
        </w:tc>
      </w:tr>
      <w:tr>
        <w:trPr>
          <w:tblHeader w:val="false"/>
        </w:trPr>
        <w:tc>
          <w:tcPr>
            <w:tcW w:type="dxa" w:w="1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 embeddings</w:t>
            </w:r>
          </w:p>
        </w:tc>
        <w:tc>
          <w:tcPr>
            <w:tcW w:type="dxa" w:w="74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Adds latency, cost, and an external dependency to every question.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Ships now at zero cost, on CPU, with data never leaving the server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Creates the labelled corpus as a by-product of normal operation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Fine-tuning later is a contained, measurable change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Encoder version becomes part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</w:t>
      </w:r>
      <w:r>
        <w:rPr>
          <w:color w:val="13272F"/>
          <w:sz w:val="20"/>
          <w:szCs w:val="20"/>
        </w:rPr>
        <w:t xml:space="preserve">; changing it requires replay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ADR-0014 · No case retirement policy; use variants instead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Repeated exposure degrades a trap case's validity once answers circulate. A retirement policy would cap the useful life of expensive hand-authored content.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 automatic retirement. Instead: system-selected cases rather than user choice, a deep bank, generated case variants (same trap, different patient details and values), anomaly detection for suspiciously fast-and-perfect sessions, and per-case difficulty monitoring so a collapsing trap rate can be acted on individually.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117"/>
        <w:gridCol w:w="7243"/>
      </w:tblGrid>
      <w:tr>
        <w:trPr>
          <w:tblHeader/>
        </w:trPr>
        <w:tc>
          <w:tcPr>
            <w:tcW w:type="dxa" w:w="211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2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1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Retire after N uses</w:t>
            </w:r>
          </w:p>
        </w:tc>
        <w:tc>
          <w:tcPr>
            <w:tcW w:type="dxa" w:w="72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Discards expensive content on a schedule rather than on evidence.</w:t>
            </w:r>
          </w:p>
        </w:tc>
      </w:tr>
      <w:tr>
        <w:trPr>
          <w:tblHeader w:val="false"/>
        </w:trPr>
        <w:tc>
          <w:tcPr>
            <w:tcW w:type="dxa" w:w="21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 nothing</w:t>
            </w:r>
          </w:p>
        </w:tc>
        <w:tc>
          <w:tcPr>
            <w:tcW w:type="dxa" w:w="72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Answer sharing would silently degrade the measurement.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Authoring effort retains value indefinitely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Variants multiply the return on each authored case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Retirement remains available as a per-case judgement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Requires variant generation and anomaly detection to be built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ADR-0015 · Direct-to-consumer, with the institutional path preserved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original design assumed institutional B2B: institutions, cohorts, educators assigning cases. The product decision is to serve individual medical professionals directly.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Build for individual accounts with subscriptions. Retain a nullable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institution_id</w:t>
      </w:r>
      <w:r>
        <w:rPr>
          <w:color w:val="13272F"/>
          <w:sz w:val="20"/>
          <w:szCs w:val="20"/>
        </w:rPr>
        <w:t xml:space="preserve">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profiles</w:t>
      </w:r>
      <w:r>
        <w:rPr>
          <w:color w:val="13272F"/>
          <w:sz w:val="20"/>
          <w:szCs w:val="20"/>
        </w:rPr>
        <w:t xml:space="preserve"> so a cohort product remains possible without a migration.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824"/>
        <w:gridCol w:w="6536"/>
      </w:tblGrid>
      <w:tr>
        <w:trPr>
          <w:tblHeader/>
        </w:trPr>
        <w:tc>
          <w:tcPr>
            <w:tcW w:type="dxa" w:w="282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653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8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Institutional B2B first</w:t>
            </w:r>
          </w:p>
        </w:tc>
        <w:tc>
          <w:tcPr>
            <w:tcW w:type="dxa" w:w="6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Long sales cycles, procurement, and a product shaped by buyers who are not users.</w:t>
            </w:r>
          </w:p>
        </w:tc>
      </w:tr>
      <w:tr>
        <w:trPr>
          <w:tblHeader w:val="false"/>
        </w:trPr>
        <w:tc>
          <w:tcPr>
            <w:tcW w:type="dxa" w:w="28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both simultaneously</w:t>
            </w:r>
          </w:p>
        </w:tc>
        <w:tc>
          <w:tcPr>
            <w:tcW w:type="dxa" w:w="65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Doubles surface area before either is validated.</w:t>
            </w:r>
          </w:p>
        </w:tc>
      </w:tr>
      <w:tr>
        <w:trPr>
          <w:tblHeader w:val="false"/>
        </w:trPr>
        <w:tc>
          <w:tcPr>
            <w:tcW w:type="dxa" w:w="28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Drop institutional support entirely</w:t>
            </w:r>
          </w:p>
        </w:tc>
        <w:tc>
          <w:tcPr>
            <w:tcW w:type="dxa" w:w="6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nullable column costs nothing now and saves weeks later.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Faster path to real users and revenue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Self-serve growth rather than sales-led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B2B remains reachable without a schema rewrite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Educator features, cohort assignment and aggregate dashboards are out of scope for v1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Research studies become opt-in rather than cohort-wide (see TECH_SPEC §10)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2026-09-11T05:12:20.067Z</dcterms:created>
  <dcterms:modified xsi:type="dcterms:W3CDTF">2026-09-11T05:12:20.068Z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