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200"/>
      </w:pPr>
    </w:p>
    <w:p>
      <w:pPr>
        <w:spacing w:after="120"/>
      </w:pPr>
      <w:r>
        <w:rPr>
          <w:b/>
          <w:bCs/>
          <w:color w:val="B3651F"/>
          <w:spacing w:val="60"/>
          <w:sz w:val="19"/>
          <w:szCs w:val="19"/>
        </w:rPr>
        <w:t xml:space="preserve">Threat model, security model, incident response</w:t>
      </w:r>
    </w:p>
    <w:p>
      <w:pPr>
        <w:spacing w:after="100"/>
      </w:pPr>
      <w:r>
        <w:rPr>
          <w:rFonts w:ascii="Georgia" w:cs="Georgia" w:eastAsia="Georgia" w:hAnsi="Georgia"/>
          <w:b/>
          <w:bCs/>
          <w:color w:val="13272F"/>
          <w:sz w:val="56"/>
          <w:szCs w:val="56"/>
        </w:rPr>
        <w:t xml:space="preserve">Nidan — Security Specification</w:t>
      </w:r>
    </w:p>
    <w:p>
      <w:pPr>
        <w:spacing w:after="340"/>
      </w:pPr>
      <w:r>
        <w:rPr>
          <w:rFonts w:ascii="Georgia" w:cs="Georgia" w:eastAsia="Georgia" w:hAnsi="Georgia"/>
          <w:color w:val="1F7A8C"/>
          <w:sz w:val="24"/>
          <w:szCs w:val="24"/>
        </w:rPr>
        <w:t xml:space="preserve">Nidan — Bias-Aware Virtual Patient Simulator</w:t>
      </w:r>
    </w:p>
    <w:p>
      <w:pPr>
        <w:pBdr>
          <w:bottom w:val="single" w:color="B3651F" w:sz="12" w:space="6"/>
        </w:pBdr>
        <w:spacing w:after="420"/>
      </w:pPr>
      <w:r>
        <w:t xml:space="preserve"/>
      </w:r>
    </w:p>
    <w:p>
      <w:pPr>
        <w:spacing w:after="110"/>
      </w:pPr>
      <w:r>
        <w:rPr>
          <w:rFonts w:ascii="Consolas" w:cs="Consolas" w:eastAsia="Consolas" w:hAnsi="Consolas"/>
          <w:b/>
          <w:bCs/>
          <w:color w:val="5F7A85"/>
          <w:sz w:val="19"/>
          <w:szCs w:val="19"/>
        </w:rPr>
        <w:t xml:space="preserve">Authors       </w:t>
      </w:r>
      <w:r>
        <w:rPr>
          <w:color w:val="13272F"/>
          <w:sz w:val="21"/>
          <w:szCs w:val="21"/>
        </w:rPr>
        <w:t xml:space="preserve">Vraj Patel (202301408) · Yogesh Bagotia (202301114)</w:t>
      </w:r>
    </w:p>
    <w:p>
      <w:pPr>
        <w:spacing w:after="110"/>
      </w:pPr>
      <w:r>
        <w:rPr>
          <w:rFonts w:ascii="Consolas" w:cs="Consolas" w:eastAsia="Consolas" w:hAnsi="Consolas"/>
          <w:b/>
          <w:bCs/>
          <w:color w:val="5F7A85"/>
          <w:sz w:val="19"/>
          <w:szCs w:val="19"/>
        </w:rPr>
        <w:t xml:space="preserve">Mentor        </w:t>
      </w:r>
      <w:r>
        <w:rPr>
          <w:color w:val="13272F"/>
          <w:sz w:val="21"/>
          <w:szCs w:val="21"/>
        </w:rPr>
        <w:t xml:space="preserve">Abhishek Gupta</w:t>
      </w:r>
    </w:p>
    <w:p>
      <w:pPr>
        <w:spacing w:after="110"/>
      </w:pPr>
      <w:r>
        <w:rPr>
          <w:rFonts w:ascii="Consolas" w:cs="Consolas" w:eastAsia="Consolas" w:hAnsi="Consolas"/>
          <w:b/>
          <w:bCs/>
          <w:color w:val="5F7A85"/>
          <w:sz w:val="19"/>
          <w:szCs w:val="19"/>
        </w:rPr>
        <w:t xml:space="preserve">Institution   </w:t>
      </w:r>
      <w:r>
        <w:rPr>
          <w:color w:val="13272F"/>
          <w:sz w:val="21"/>
          <w:szCs w:val="21"/>
        </w:rPr>
        <w:t xml:space="preserve">DAU (Dhirubhai Ambani University), Gandhinagar</w:t>
      </w:r>
    </w:p>
    <w:p>
      <w:pPr>
        <w:spacing w:after="110"/>
      </w:pPr>
      <w:r>
        <w:rPr>
          <w:rFonts w:ascii="Consolas" w:cs="Consolas" w:eastAsia="Consolas" w:hAnsi="Consolas"/>
          <w:b/>
          <w:bCs/>
          <w:color w:val="5F7A85"/>
          <w:sz w:val="19"/>
          <w:szCs w:val="19"/>
        </w:rPr>
        <w:t xml:space="preserve">Status        </w:t>
      </w:r>
      <w:r>
        <w:rPr>
          <w:color w:val="13272F"/>
          <w:sz w:val="21"/>
          <w:szCs w:val="21"/>
        </w:rPr>
        <w:t xml:space="preserve">Draft</w:t>
      </w:r>
    </w:p>
    <w:p>
      <w:pPr>
        <w:spacing w:after="110"/>
      </w:pPr>
      <w:r>
        <w:rPr>
          <w:rFonts w:ascii="Consolas" w:cs="Consolas" w:eastAsia="Consolas" w:hAnsi="Consolas"/>
          <w:b/>
          <w:bCs/>
          <w:color w:val="5F7A85"/>
          <w:sz w:val="19"/>
          <w:szCs w:val="19"/>
        </w:rPr>
        <w:t xml:space="preserve">Part of       </w:t>
      </w:r>
      <w:r>
        <w:rPr>
          <w:color w:val="13272F"/>
          <w:sz w:val="21"/>
          <w:szCs w:val="21"/>
        </w:rPr>
        <w:t xml:space="preserve">Build specification</w:t>
      </w:r>
    </w:p>
    <w:p>
      <w:r>
        <w:br w:type="page"/>
      </w:r>
    </w:p>
    <w:p>
      <w:pPr>
        <w:pStyle w:val="Heading1"/>
        <w:pBdr>
          <w:bottom w:val="single" w:color="1F7A8C" w:sz="8" w:space="6"/>
        </w:pBdr>
        <w:spacing w:after="240"/>
      </w:pPr>
      <w:r>
        <w:rPr>
          <w:rFonts w:ascii="Georgia" w:cs="Georgia" w:eastAsia="Georgia" w:hAnsi="Georgia"/>
          <w:b/>
          <w:bCs/>
          <w:color w:val="13272F"/>
          <w:sz w:val="34"/>
          <w:szCs w:val="34"/>
        </w:rPr>
        <w:t xml:space="preserve">Contents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tbl>
      <w:tblPr>
        <w:tblW w:type="dxa" w:w="9360"/>
        <w:tblBorders>
          <w:top w:val="single" w:color="D6E2E6" w:sz="2"/>
          <w:left w:val="single" w:color="D6E2E6" w:sz="2"/>
          <w:bottom w:val="single" w:color="D6E2E6" w:sz="2"/>
          <w:right w:val="single" w:color="D6E2E6" w:sz="2"/>
          <w:insideH w:val="single" w:color="D6E2E6" w:sz="1"/>
          <w:insideV w:val="single" w:color="D6E2E6" w:sz="1"/>
        </w:tblBorders>
      </w:tblPr>
      <w:tblGrid>
        <w:gridCol w:w="1377"/>
        <w:gridCol w:w="7983"/>
      </w:tblGrid>
      <w:tr>
        <w:trPr>
          <w:tblHeader/>
        </w:trPr>
        <w:tc>
          <w:tcPr>
            <w:tcW w:type="dxa" w:w="1377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tcW w:type="dxa" w:w="7983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377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Status</w:t>
            </w:r>
          </w:p>
        </w:tc>
        <w:tc>
          <w:tcPr>
            <w:tcW w:type="dxa" w:w="798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Draft — first consolidated version</w:t>
            </w:r>
          </w:p>
        </w:tc>
      </w:tr>
      <w:tr>
        <w:trPr>
          <w:tblHeader w:val="false"/>
        </w:trPr>
        <w:tc>
          <w:tcPr>
            <w:tcW w:type="dxa" w:w="1377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Owner</w:t>
            </w:r>
          </w:p>
        </w:tc>
        <w:tc>
          <w:tcPr>
            <w:tcW w:type="dxa" w:w="7983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Vraj Patel</w:t>
            </w:r>
          </w:p>
        </w:tc>
      </w:tr>
      <w:tr>
        <w:trPr>
          <w:tblHeader w:val="false"/>
        </w:trPr>
        <w:tc>
          <w:tcPr>
            <w:tcW w:type="dxa" w:w="1377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Related</w:t>
            </w:r>
          </w:p>
        </w:tc>
        <w:tc>
          <w:tcPr>
            <w:tcW w:type="dxa" w:w="798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ADR-0001</w:t>
            </w:r>
            <w:r>
              <w:rPr>
                <w:color w:val="1327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ADR-0002</w:t>
            </w:r>
            <w:r>
              <w:rPr>
                <w:color w:val="1327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ADR-0005</w:t>
            </w:r>
            <w:r>
              <w:rPr>
                <w:color w:val="13272F"/>
                <w:sz w:val="17"/>
                <w:szCs w:val="17"/>
              </w:rPr>
              <w:t xml:space="preserve"> · </w:t>
            </w: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DATA_MODEL</w:t>
            </w:r>
            <w:r>
              <w:rPr>
                <w:color w:val="13272F"/>
                <w:sz w:val="17"/>
                <w:szCs w:val="17"/>
              </w:rPr>
              <w:t xml:space="preserve"> §10 · </w:t>
            </w: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API_CONTRACT</w:t>
            </w:r>
            <w:r>
              <w:rPr>
                <w:color w:val="13272F"/>
                <w:sz w:val="17"/>
                <w:szCs w:val="17"/>
              </w:rPr>
              <w:t xml:space="preserve"> §2 · </w:t>
            </w: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UX_SPEC</w:t>
            </w:r>
            <w:r>
              <w:rPr>
                <w:color w:val="13272F"/>
                <w:sz w:val="17"/>
                <w:szCs w:val="17"/>
              </w:rPr>
              <w:t xml:space="preserve"> §6, §8.3, §8.6 · </w:t>
            </w: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TECH_SPEC</w:t>
            </w:r>
            <w:r>
              <w:rPr>
                <w:color w:val="13272F"/>
                <w:sz w:val="17"/>
                <w:szCs w:val="17"/>
              </w:rPr>
              <w:t xml:space="preserve"> §5.3, §9, §10</w:t>
            </w:r>
          </w:p>
        </w:tc>
      </w:tr>
      <w:tr>
        <w:trPr>
          <w:tblHeader w:val="false"/>
        </w:trPr>
        <w:tc>
          <w:tcPr>
            <w:tcW w:type="dxa" w:w="1377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Last updated</w:t>
            </w:r>
          </w:p>
        </w:tc>
        <w:tc>
          <w:tcPr>
            <w:tcW w:type="dxa" w:w="7983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5 September 2026</w:t>
            </w:r>
          </w:p>
        </w:tc>
      </w:tr>
    </w:tbl>
    <w:p>
      <w:pPr>
        <w:spacing w:after="160"/>
      </w:pPr>
    </w:p>
    <w:p>
      <w:pPr>
        <w:pBdr>
          <w:bottom w:val="single" w:color="D6E2E6" w:sz="6" w:space="2"/>
        </w:pBdr>
        <w:spacing w:after="120" w:before="120"/>
      </w:pPr>
      <w:r>
        <w:t xml:space="preserve"/>
      </w: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1 · What this document is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Security decisions for this product were made correctly but written down in four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different places. Nobody could answer </w:t>
      </w:r>
      <w:r>
        <w:rPr>
          <w:i/>
          <w:iCs/>
          <w:color w:val="13272F"/>
          <w:sz w:val="20"/>
          <w:szCs w:val="20"/>
        </w:rPr>
        <w:t xml:space="preserve">"is this secure?"</w:t>
      </w:r>
      <w:r>
        <w:rPr>
          <w:color w:val="13272F"/>
          <w:sz w:val="20"/>
          <w:szCs w:val="20"/>
        </w:rPr>
        <w:t xml:space="preserve"> without reading all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four, which means in practice nobody checked.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This document does three things: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b/>
          <w:bCs/>
          <w:color w:val="13272F"/>
          <w:sz w:val="20"/>
          <w:szCs w:val="20"/>
        </w:rPr>
        <w:t xml:space="preserve">Consolidates</w:t>
      </w:r>
      <w:r>
        <w:rPr>
          <w:color w:val="13272F"/>
          <w:sz w:val="20"/>
          <w:szCs w:val="20"/>
        </w:rPr>
        <w:t xml:space="preserve"> the existing decisions into one security model (§4).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b/>
          <w:bCs/>
          <w:color w:val="13272F"/>
          <w:sz w:val="20"/>
          <w:szCs w:val="20"/>
        </w:rPr>
        <w:t xml:space="preserve">Adds the threat model</w:t>
      </w:r>
      <w:r>
        <w:rPr>
          <w:color w:val="13272F"/>
          <w:sz w:val="20"/>
          <w:szCs w:val="20"/>
        </w:rPr>
        <w:t xml:space="preserve"> — who would attack this, what they want, what stops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   them. That did not exist anywhere (§3).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b/>
          <w:bCs/>
          <w:color w:val="13272F"/>
          <w:sz w:val="20"/>
          <w:szCs w:val="20"/>
        </w:rPr>
        <w:t xml:space="preserve">Fills the real gaps</w:t>
      </w:r>
      <w:r>
        <w:rPr>
          <w:color w:val="13272F"/>
          <w:sz w:val="20"/>
          <w:szCs w:val="20"/>
        </w:rPr>
        <w:t xml:space="preserve"> — security headers, dependency management, secrets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   lifecycle, incident response, legal position (§5–§8).</w:t>
      </w:r>
    </w:p>
    <w:p>
      <w:pPr>
        <w:pStyle w:val="Heading3"/>
        <w:spacing w:after="100" w:before="220"/>
      </w:pPr>
      <w:r>
        <w:rPr>
          <w:rFonts w:ascii="Georgia" w:cs="Georgia" w:eastAsia="Georgia" w:hAnsi="Georgia"/>
          <w:b/>
          <w:bCs/>
          <w:color w:val="13272F"/>
          <w:sz w:val="22"/>
          <w:szCs w:val="22"/>
        </w:rPr>
        <w:t xml:space="preserve">What it is not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It is not the authority on any detail it cites.</w:t>
      </w:r>
      <w:r>
        <w:rPr>
          <w:color w:val="13272F"/>
          <w:sz w:val="20"/>
          <w:szCs w:val="20"/>
        </w:rPr>
        <w:t xml:space="preserve"> Where this document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summarises RLS policies, endpoint auth levels, or the deletion transaction, the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authority remains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DATA_MODEL</w:t>
      </w:r>
      <w:r>
        <w:rPr>
          <w:color w:val="13272F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API_CONTRACT</w:t>
      </w:r>
      <w:r>
        <w:rPr>
          <w:color w:val="13272F"/>
          <w:sz w:val="20"/>
          <w:szCs w:val="20"/>
        </w:rPr>
        <w:t xml:space="preserve"> and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UX_SPEC</w:t>
      </w:r>
      <w:r>
        <w:rPr>
          <w:color w:val="13272F"/>
          <w:sz w:val="20"/>
          <w:szCs w:val="20"/>
        </w:rPr>
        <w:t xml:space="preserve"> respectively.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Duplicating DDL here would guarantee drift. Every claim below carries its source;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when they disagree, the source wins and this document is the bug.</w:t>
      </w:r>
    </w:p>
    <w:p>
      <w:pPr>
        <w:pStyle w:val="Heading3"/>
        <w:spacing w:after="100" w:before="220"/>
      </w:pPr>
      <w:r>
        <w:rPr>
          <w:rFonts w:ascii="Georgia" w:cs="Georgia" w:eastAsia="Georgia" w:hAnsi="Georgia"/>
          <w:b/>
          <w:bCs/>
          <w:color w:val="13272F"/>
          <w:sz w:val="22"/>
          <w:szCs w:val="22"/>
        </w:rPr>
        <w:t xml:space="preserve">Standing assumption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We have no security reviewer, no security budget, and no experience shipping a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product. Every decision here is shaped by that. The strategy is not to be clever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— it is to </w:t>
      </w:r>
      <w:r>
        <w:rPr>
          <w:b/>
          <w:bCs/>
          <w:color w:val="13272F"/>
          <w:sz w:val="20"/>
          <w:szCs w:val="20"/>
        </w:rPr>
        <w:t xml:space="preserve">delegate the hard parts to people who do this professionally</w:t>
      </w:r>
      <w:r>
        <w:rPr>
          <w:color w:val="13272F"/>
          <w:sz w:val="20"/>
          <w:szCs w:val="20"/>
        </w:rPr>
        <w:t xml:space="preserve"> and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keep our own attack surface small enough to reason about.</w:t>
      </w:r>
    </w:p>
    <w:p>
      <w:pPr>
        <w:pBdr>
          <w:bottom w:val="single" w:color="D6E2E6" w:sz="6" w:space="2"/>
        </w:pBdr>
        <w:spacing w:after="120" w:before="120"/>
      </w:pPr>
      <w:r>
        <w:t xml:space="preserve"/>
      </w: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2 · What we are protecting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Not all of it matters equally. Ranked by what a leak would actually cost.</w:t>
      </w:r>
    </w:p>
    <w:tbl>
      <w:tblPr>
        <w:tblW w:type="dxa" w:w="9360"/>
        <w:tblBorders>
          <w:top w:val="single" w:color="D6E2E6" w:sz="2"/>
          <w:left w:val="single" w:color="D6E2E6" w:sz="2"/>
          <w:bottom w:val="single" w:color="D6E2E6" w:sz="2"/>
          <w:right w:val="single" w:color="D6E2E6" w:sz="2"/>
          <w:insideH w:val="single" w:color="D6E2E6" w:sz="1"/>
          <w:insideV w:val="single" w:color="D6E2E6" w:sz="1"/>
        </w:tblBorders>
      </w:tblPr>
      <w:tblGrid>
        <w:gridCol w:w="683"/>
        <w:gridCol w:w="3292"/>
        <w:gridCol w:w="4357"/>
        <w:gridCol w:w="1028"/>
      </w:tblGrid>
      <w:tr>
        <w:trPr>
          <w:tblHeader/>
        </w:trPr>
        <w:tc>
          <w:tcPr>
            <w:tcW w:type="dxa" w:w="683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3292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Asset</w:t>
            </w:r>
          </w:p>
        </w:tc>
        <w:tc>
          <w:tcPr>
            <w:tcW w:type="dxa" w:w="4357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Why it matters</w:t>
            </w:r>
          </w:p>
        </w:tc>
        <w:tc>
          <w:tcPr>
            <w:tcW w:type="dxa" w:w="1028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Where it lives</w:t>
            </w:r>
          </w:p>
        </w:tc>
      </w:tr>
      <w:tr>
        <w:trPr>
          <w:tblHeader w:val="false"/>
        </w:trPr>
        <w:tc>
          <w:tcPr>
            <w:tcW w:type="dxa" w:w="68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A1</w:t>
            </w:r>
          </w:p>
        </w:tc>
        <w:tc>
          <w:tcPr>
            <w:tcW w:type="dxa" w:w="3292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Performance data linked to a named professional</w:t>
            </w:r>
            <w:r>
              <w:rPr>
                <w:color w:val="13272F"/>
                <w:sz w:val="17"/>
                <w:szCs w:val="17"/>
              </w:rPr>
              <w:t xml:space="preserve"> — </w:t>
            </w:r>
            <w:r>
              <w:rPr>
                <w:i/>
                <w:iCs/>
                <w:color w:val="13272F"/>
                <w:sz w:val="17"/>
                <w:szCs w:val="17"/>
              </w:rPr>
              <w:t xml:space="preserve">this doctor reasons poorly under time pressure</w:t>
            </w:r>
          </w:p>
        </w:tc>
        <w:tc>
          <w:tcPr>
            <w:tcW w:type="dxa" w:w="4357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Career-damaging. Uniquely sensitive to this product: it is a judgement about professional competence, attached to a real person</w:t>
            </w:r>
          </w:p>
        </w:tc>
        <w:tc>
          <w:tcPr>
            <w:tcW w:type="dxa" w:w="102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session_results</w:t>
            </w:r>
            <w:r>
              <w:rPr>
                <w:color w:val="1327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user_progress</w:t>
            </w:r>
          </w:p>
        </w:tc>
      </w:tr>
      <w:tr>
        <w:trPr>
          <w:tblHeader w:val="false"/>
        </w:trPr>
        <w:tc>
          <w:tcPr>
            <w:tcW w:type="dxa" w:w="683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A2</w:t>
            </w:r>
          </w:p>
        </w:tc>
        <w:tc>
          <w:tcPr>
            <w:tcW w:type="dxa" w:w="3292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Consultation transcripts</w:t>
            </w:r>
          </w:p>
        </w:tc>
        <w:tc>
          <w:tcPr>
            <w:tcW w:type="dxa" w:w="4357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The learner's own words, showing what they did and did not think to ask</w:t>
            </w:r>
          </w:p>
        </w:tc>
        <w:tc>
          <w:tcPr>
            <w:tcW w:type="dxa" w:w="1028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session_events.payload</w:t>
            </w:r>
          </w:p>
        </w:tc>
      </w:tr>
      <w:tr>
        <w:trPr>
          <w:tblHeader w:val="false"/>
        </w:trPr>
        <w:tc>
          <w:tcPr>
            <w:tcW w:type="dxa" w:w="68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A3</w:t>
            </w:r>
          </w:p>
        </w:tc>
        <w:tc>
          <w:tcPr>
            <w:tcW w:type="dxa" w:w="3292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Account credentials</w:t>
            </w:r>
          </w:p>
        </w:tc>
        <w:tc>
          <w:tcPr>
            <w:tcW w:type="dxa" w:w="4357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Standard, but the blast radius is A1</w:t>
            </w:r>
          </w:p>
        </w:tc>
        <w:tc>
          <w:tcPr>
            <w:tcW w:type="dxa" w:w="102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Supabase Auth — never ours</w:t>
            </w:r>
          </w:p>
        </w:tc>
      </w:tr>
      <w:tr>
        <w:trPr>
          <w:tblHeader w:val="false"/>
        </w:trPr>
        <w:tc>
          <w:tcPr>
            <w:tcW w:type="dxa" w:w="683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A4</w:t>
            </w:r>
          </w:p>
        </w:tc>
        <w:tc>
          <w:tcPr>
            <w:tcW w:type="dxa" w:w="3292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Clinical case content</w:t>
            </w:r>
          </w:p>
        </w:tc>
        <w:tc>
          <w:tcPr>
            <w:tcW w:type="dxa" w:w="4357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Our IP, and the thing five clinician-reviewed cases will have cost most to produce</w:t>
            </w:r>
          </w:p>
        </w:tc>
        <w:tc>
          <w:tcPr>
            <w:tcW w:type="dxa" w:w="1028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case_versions</w:t>
            </w:r>
          </w:p>
        </w:tc>
      </w:tr>
      <w:tr>
        <w:trPr>
          <w:tblHeader w:val="false"/>
        </w:trPr>
        <w:tc>
          <w:tcPr>
            <w:tcW w:type="dxa" w:w="68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A5</w:t>
            </w:r>
          </w:p>
        </w:tc>
        <w:tc>
          <w:tcPr>
            <w:tcW w:type="dxa" w:w="3292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Research dataset</w:t>
            </w:r>
          </w:p>
        </w:tc>
        <w:tc>
          <w:tcPr>
            <w:tcW w:type="dxa" w:w="4357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A published claim depends on it. Corruption is worse than disclosure here</w:t>
            </w:r>
          </w:p>
        </w:tc>
        <w:tc>
          <w:tcPr>
            <w:tcW w:type="dxa" w:w="102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session_results</w:t>
            </w:r>
            <w:r>
              <w:rPr>
                <w:color w:val="13272F"/>
                <w:sz w:val="17"/>
                <w:szCs w:val="17"/>
              </w:rPr>
              <w:t xml:space="preserve"> + </w:t>
            </w: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research_pid</w:t>
            </w:r>
          </w:p>
        </w:tc>
      </w:tr>
      <w:tr>
        <w:trPr>
          <w:tblHeader w:val="false"/>
        </w:trPr>
        <w:tc>
          <w:tcPr>
            <w:tcW w:type="dxa" w:w="683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A6</w:t>
            </w:r>
          </w:p>
        </w:tc>
        <w:tc>
          <w:tcPr>
            <w:tcW w:type="dxa" w:w="3292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Payment details</w:t>
            </w:r>
          </w:p>
        </w:tc>
        <w:tc>
          <w:tcPr>
            <w:tcW w:type="dxa" w:w="4357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Never touches our servers</w:t>
            </w:r>
            <w:r>
              <w:rPr>
                <w:color w:val="13272F"/>
                <w:sz w:val="17"/>
                <w:szCs w:val="17"/>
              </w:rPr>
              <w:t xml:space="preserve"> — Stripe-hosted checkout</w:t>
            </w:r>
          </w:p>
        </w:tc>
        <w:tc>
          <w:tcPr>
            <w:tcW w:type="dxa" w:w="1028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Stripe</w:t>
            </w:r>
          </w:p>
        </w:tc>
      </w:tr>
      <w:tr>
        <w:trPr>
          <w:tblHeader w:val="false"/>
        </w:trPr>
        <w:tc>
          <w:tcPr>
            <w:tcW w:type="dxa" w:w="68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A7</w:t>
            </w:r>
          </w:p>
        </w:tc>
        <w:tc>
          <w:tcPr>
            <w:tcW w:type="dxa" w:w="3292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API keys and service credentials</w:t>
            </w:r>
          </w:p>
        </w:tc>
        <w:tc>
          <w:tcPr>
            <w:tcW w:type="dxa" w:w="4357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Compromise means a bill, and access to everything above</w:t>
            </w:r>
          </w:p>
        </w:tc>
        <w:tc>
          <w:tcPr>
            <w:tcW w:type="dxa" w:w="102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Environment, never the repo</w:t>
            </w:r>
          </w:p>
        </w:tc>
      </w:tr>
    </w:tbl>
    <w:p>
      <w:pPr>
        <w:spacing w:after="160"/>
      </w:pP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**A1 is the crown jewel, and it is the one a generic security checklist would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miss.** Most products protect data because users would be embarrassed. This one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holds a structured, quantified assessment of a clinician's diagnostic reasoning,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tied to their identity. That is closer to a medical record about the doctor than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to a usage log.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It has a direct product consequence, in §3.</w:t>
      </w:r>
    </w:p>
    <w:p>
      <w:pPr>
        <w:pBdr>
          <w:bottom w:val="single" w:color="D6E2E6" w:sz="6" w:space="2"/>
        </w:pBdr>
        <w:spacing w:after="120" w:before="120"/>
      </w:pPr>
      <w:r>
        <w:t xml:space="preserve"/>
      </w: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3 · Threat model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Six actors. For each: what they want, how they would try, what stops them, and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whether that defence exists yet.</w:t>
      </w:r>
    </w:p>
    <w:p>
      <w:pPr>
        <w:pStyle w:val="Heading3"/>
        <w:spacing w:after="100" w:before="220"/>
      </w:pPr>
      <w:r>
        <w:rPr>
          <w:rFonts w:ascii="Georgia" w:cs="Georgia" w:eastAsia="Georgia" w:hAnsi="Georgia"/>
          <w:b/>
          <w:bCs/>
          <w:color w:val="13272F"/>
          <w:sz w:val="22"/>
          <w:szCs w:val="22"/>
        </w:rPr>
        <w:t xml:space="preserve">T1 · A learner who wants free access</w:t>
      </w:r>
    </w:p>
    <w:p>
      <w:pPr>
        <w:spacing w:after="120" w:before="60" w:line="300"/>
      </w:pPr>
      <w:r>
        <w:rPr>
          <w:i/>
          <w:iCs/>
          <w:color w:val="13272F"/>
          <w:sz w:val="20"/>
          <w:szCs w:val="20"/>
        </w:rPr>
        <w:t xml:space="preserve">Most likely by far. Low sophistication, high volume.</w:t>
      </w:r>
    </w:p>
    <w:tbl>
      <w:tblPr>
        <w:tblW w:type="dxa" w:w="9360"/>
        <w:tblBorders>
          <w:top w:val="single" w:color="D6E2E6" w:sz="2"/>
          <w:left w:val="single" w:color="D6E2E6" w:sz="2"/>
          <w:bottom w:val="single" w:color="D6E2E6" w:sz="2"/>
          <w:right w:val="single" w:color="D6E2E6" w:sz="2"/>
          <w:insideH w:val="single" w:color="D6E2E6" w:sz="1"/>
          <w:insideV w:val="single" w:color="D6E2E6" w:sz="1"/>
        </w:tblBorders>
      </w:tblPr>
      <w:tblGrid>
        <w:gridCol w:w="2937"/>
        <w:gridCol w:w="5125"/>
        <w:gridCol w:w="1298"/>
      </w:tblGrid>
      <w:tr>
        <w:trPr>
          <w:tblHeader/>
        </w:trPr>
        <w:tc>
          <w:tcPr>
            <w:tcW w:type="dxa" w:w="2937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Attempt</w:t>
            </w:r>
          </w:p>
        </w:tc>
        <w:tc>
          <w:tcPr>
            <w:tcW w:type="dxa" w:w="5125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Defence</w:t>
            </w:r>
          </w:p>
        </w:tc>
        <w:tc>
          <w:tcPr>
            <w:tcW w:type="dxa" w:w="1298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rPr>
          <w:tblHeader w:val="false"/>
        </w:trPr>
        <w:tc>
          <w:tcPr>
            <w:tcW w:type="dxa" w:w="2937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Clear cookies to repeat the anonymous trial</w:t>
            </w:r>
          </w:p>
        </w:tc>
        <w:tc>
          <w:tcPr>
            <w:tcW w:type="dxa" w:w="512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Trial keyed to browser fingerprint + </w:t>
            </w: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anonymous_id</w:t>
            </w:r>
            <w:r>
              <w:rPr>
                <w:color w:val="13272F"/>
                <w:sz w:val="17"/>
                <w:szCs w:val="17"/>
              </w:rPr>
              <w:t xml:space="preserve">; 1 per browser</w:t>
            </w:r>
          </w:p>
        </w:tc>
        <w:tc>
          <w:tcPr>
            <w:tcW w:type="dxa" w:w="129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API_CONTRACT</w:t>
            </w:r>
            <w:r>
              <w:rPr>
                <w:color w:val="13272F"/>
                <w:sz w:val="17"/>
                <w:szCs w:val="17"/>
              </w:rPr>
              <w:t xml:space="preserve"> §2.9 ✅</w:t>
            </w:r>
          </w:p>
        </w:tc>
      </w:tr>
      <w:tr>
        <w:trPr>
          <w:tblHeader w:val="false"/>
        </w:trPr>
        <w:tc>
          <w:tcPr>
            <w:tcW w:type="dxa" w:w="2937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Call the API directly to bypass tier gating</w:t>
            </w:r>
          </w:p>
        </w:tc>
        <w:tc>
          <w:tcPr>
            <w:tcW w:type="dxa" w:w="5125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Tier checked server-side per endpoint (</w:t>
            </w: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pro</w:t>
            </w:r>
            <w:r>
              <w:rPr>
                <w:color w:val="13272F"/>
                <w:sz w:val="17"/>
                <w:szCs w:val="17"/>
              </w:rPr>
              <w:t xml:space="preserve"> auth level), never in the client</w:t>
            </w:r>
          </w:p>
        </w:tc>
        <w:tc>
          <w:tcPr>
            <w:tcW w:type="dxa" w:w="1298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API_CONTRACT</w:t>
            </w:r>
            <w:r>
              <w:rPr>
                <w:color w:val="13272F"/>
                <w:sz w:val="17"/>
                <w:szCs w:val="17"/>
              </w:rPr>
              <w:t xml:space="preserve"> §2.2 ✅</w:t>
            </w:r>
          </w:p>
        </w:tc>
      </w:tr>
      <w:tr>
        <w:trPr>
          <w:tblHeader w:val="false"/>
        </w:trPr>
        <w:tc>
          <w:tcPr>
            <w:tcW w:type="dxa" w:w="2937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Share one account widely</w:t>
            </w:r>
          </w:p>
        </w:tc>
        <w:tc>
          <w:tcPr>
            <w:tcW w:type="dxa" w:w="512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Rate limits: 20 sessions/day, 60 questions/hour per user</w:t>
            </w:r>
          </w:p>
        </w:tc>
        <w:tc>
          <w:tcPr>
            <w:tcW w:type="dxa" w:w="129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API_CONTRACT</w:t>
            </w:r>
            <w:r>
              <w:rPr>
                <w:color w:val="13272F"/>
                <w:sz w:val="17"/>
                <w:szCs w:val="17"/>
              </w:rPr>
              <w:t xml:space="preserve"> §2.9 ✅</w:t>
            </w:r>
          </w:p>
        </w:tc>
      </w:tr>
    </w:tbl>
    <w:p>
      <w:pPr>
        <w:spacing w:after="160"/>
      </w:pP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Accepted:</w:t>
      </w:r>
      <w:r>
        <w:rPr>
          <w:color w:val="13272F"/>
          <w:sz w:val="20"/>
          <w:szCs w:val="20"/>
        </w:rPr>
        <w:t xml:space="preserve"> determined account sharing is not preventable at our price point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and is not worth engineering against.</w:t>
      </w:r>
    </w:p>
    <w:p>
      <w:pPr>
        <w:pStyle w:val="Heading3"/>
        <w:spacing w:after="100" w:before="220"/>
      </w:pPr>
      <w:r>
        <w:rPr>
          <w:rFonts w:ascii="Georgia" w:cs="Georgia" w:eastAsia="Georgia" w:hAnsi="Georgia"/>
          <w:b/>
          <w:bCs/>
          <w:color w:val="13272F"/>
          <w:sz w:val="22"/>
          <w:szCs w:val="22"/>
        </w:rPr>
        <w:t xml:space="preserve">T2 · A learner who wants to game the assessment</w:t>
      </w:r>
    </w:p>
    <w:p>
      <w:pPr>
        <w:spacing w:after="120" w:before="60" w:line="300"/>
      </w:pPr>
      <w:r>
        <w:rPr>
          <w:i/>
          <w:iCs/>
          <w:color w:val="13272F"/>
          <w:sz w:val="20"/>
          <w:szCs w:val="20"/>
        </w:rPr>
        <w:t xml:space="preserve">Specific to this product. Not a security breach — a validity breach.</w:t>
      </w:r>
    </w:p>
    <w:tbl>
      <w:tblPr>
        <w:tblW w:type="dxa" w:w="9360"/>
        <w:tblBorders>
          <w:top w:val="single" w:color="D6E2E6" w:sz="2"/>
          <w:left w:val="single" w:color="D6E2E6" w:sz="2"/>
          <w:bottom w:val="single" w:color="D6E2E6" w:sz="2"/>
          <w:right w:val="single" w:color="D6E2E6" w:sz="2"/>
          <w:insideH w:val="single" w:color="D6E2E6" w:sz="1"/>
          <w:insideV w:val="single" w:color="D6E2E6" w:sz="1"/>
        </w:tblBorders>
      </w:tblPr>
      <w:tblGrid>
        <w:gridCol w:w="2688"/>
        <w:gridCol w:w="4034"/>
        <w:gridCol w:w="2638"/>
      </w:tblGrid>
      <w:tr>
        <w:trPr>
          <w:tblHeader/>
        </w:trPr>
        <w:tc>
          <w:tcPr>
            <w:tcW w:type="dxa" w:w="2688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Attempt</w:t>
            </w:r>
          </w:p>
        </w:tc>
        <w:tc>
          <w:tcPr>
            <w:tcW w:type="dxa" w:w="4034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Defence</w:t>
            </w:r>
          </w:p>
        </w:tc>
        <w:tc>
          <w:tcPr>
            <w:tcW w:type="dxa" w:w="2638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rPr>
          <w:tblHeader w:val="false"/>
        </w:trPr>
        <w:tc>
          <w:tcPr>
            <w:tcW w:type="dxa" w:w="268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Read the coverage meter to learn what to ask</w:t>
            </w:r>
          </w:p>
        </w:tc>
        <w:tc>
          <w:tcPr>
            <w:tcW w:type="dxa" w:w="403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There is no coverage meter.</w:t>
            </w:r>
            <w:r>
              <w:rPr>
                <w:color w:val="13272F"/>
                <w:sz w:val="17"/>
                <w:szCs w:val="17"/>
              </w:rPr>
              <w:t xml:space="preserve"> Assessment state is never shown during a consultation</w:t>
            </w:r>
          </w:p>
        </w:tc>
        <w:tc>
          <w:tcPr>
            <w:tcW w:type="dxa" w:w="263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PRD</w:t>
            </w:r>
            <w:r>
              <w:rPr>
                <w:color w:val="13272F"/>
                <w:sz w:val="17"/>
                <w:szCs w:val="17"/>
              </w:rPr>
              <w:t xml:space="preserve"> P2, contract tests CT-1/CT-2 ⚠️ </w:t>
            </w:r>
            <w:r>
              <w:rPr>
                <w:b/>
                <w:bCs/>
                <w:color w:val="13272F"/>
                <w:sz w:val="17"/>
                <w:szCs w:val="17"/>
              </w:rPr>
              <w:t xml:space="preserve">tests not written</w:t>
            </w:r>
          </w:p>
        </w:tc>
      </w:tr>
      <w:tr>
        <w:trPr>
          <w:tblHeader w:val="false"/>
        </w:trPr>
        <w:tc>
          <w:tcPr>
            <w:tcW w:type="dxa" w:w="2688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Prompt-inject the patient into volunteering everything</w:t>
            </w:r>
          </w:p>
        </w:tc>
        <w:tc>
          <w:tcPr>
            <w:tcW w:type="dxa" w:w="4034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Runtime leak detection · adversarial CI · disclosure</w:t>
            </w:r>
          </w:p>
        </w:tc>
        <w:tc>
          <w:tcPr>
            <w:tcW w:type="dxa" w:w="2638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TECH_SPEC</w:t>
            </w:r>
            <w:r>
              <w:rPr>
                <w:color w:val="13272F"/>
                <w:sz w:val="17"/>
                <w:szCs w:val="17"/>
              </w:rPr>
              <w:t xml:space="preserve"> §5.3 ❌ </w:t>
            </w:r>
            <w:r>
              <w:rPr>
                <w:b/>
                <w:bCs/>
                <w:color w:val="13272F"/>
                <w:sz w:val="17"/>
                <w:szCs w:val="17"/>
              </w:rPr>
              <w:t xml:space="preserve">T-040, not built</w:t>
            </w:r>
          </w:p>
        </w:tc>
      </w:tr>
      <w:tr>
        <w:trPr>
          <w:tblHeader w:val="false"/>
        </w:trPr>
        <w:tc>
          <w:tcPr>
            <w:tcW w:type="dxa" w:w="268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Inspect network traffic for the answer</w:t>
            </w:r>
          </w:p>
        </w:tc>
        <w:tc>
          <w:tcPr>
            <w:tcW w:type="dxa" w:w="403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Case content is sent progressively, not up front</w:t>
            </w:r>
          </w:p>
        </w:tc>
        <w:tc>
          <w:tcPr>
            <w:tcW w:type="dxa" w:w="263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partial ⚠️</w:t>
            </w:r>
          </w:p>
        </w:tc>
      </w:tr>
    </w:tbl>
    <w:p>
      <w:pPr>
        <w:spacing w:after="160"/>
      </w:pP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**This is the most under-defended area in the product, and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TECH_SPEC</w:t>
      </w:r>
      <w:r>
        <w:rPr>
          <w:color w:val="13272F"/>
          <w:sz w:val="20"/>
          <w:szCs w:val="20"/>
        </w:rPr>
        <w:t xml:space="preserve"> §5.3 says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so plainly.** The consequence is not a data breach — it is that coverage measures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the model instead of the learner, and the measurement becomes invalid. For a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product whose entire claim is the quality of its measurement, that is an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existential bug rather than a security one.</w:t>
      </w:r>
    </w:p>
    <w:p>
      <w:pPr>
        <w:pStyle w:val="Heading3"/>
        <w:spacing w:after="100" w:before="220"/>
      </w:pPr>
      <w:r>
        <w:rPr>
          <w:rFonts w:ascii="Georgia" w:cs="Georgia" w:eastAsia="Georgia" w:hAnsi="Georgia"/>
          <w:b/>
          <w:bCs/>
          <w:color w:val="13272F"/>
          <w:sz w:val="22"/>
          <w:szCs w:val="22"/>
        </w:rPr>
        <w:t xml:space="preserve">T3 · An employer or institution wanting to see an individual's results</w:t>
      </w:r>
    </w:p>
    <w:p>
      <w:pPr>
        <w:spacing w:after="120" w:before="60" w:line="300"/>
      </w:pPr>
      <w:r>
        <w:rPr>
          <w:i/>
          <w:iCs/>
          <w:color w:val="13272F"/>
          <w:sz w:val="20"/>
          <w:szCs w:val="20"/>
        </w:rPr>
        <w:t xml:space="preserve">The one that shapes the product, not just the infrastructure.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A trainee will not use this honestly if they believe their hospital can see their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scores. The moment it becomes an appraisal tool, every user optimises for looking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competent rather than learning — and the product stops working.</w:t>
      </w:r>
    </w:p>
    <w:tbl>
      <w:tblPr>
        <w:tblW w:type="dxa" w:w="9360"/>
        <w:tblBorders>
          <w:top w:val="single" w:color="D6E2E6" w:sz="2"/>
          <w:left w:val="single" w:color="D6E2E6" w:sz="2"/>
          <w:bottom w:val="single" w:color="D6E2E6" w:sz="2"/>
          <w:right w:val="single" w:color="D6E2E6" w:sz="2"/>
          <w:insideH w:val="single" w:color="D6E2E6" w:sz="1"/>
          <w:insideV w:val="single" w:color="D6E2E6" w:sz="1"/>
        </w:tblBorders>
      </w:tblPr>
      <w:tblGrid>
        <w:gridCol w:w="3120"/>
        <w:gridCol w:w="4772"/>
        <w:gridCol w:w="1468"/>
      </w:tblGrid>
      <w:tr>
        <w:trPr>
          <w:tblHeader/>
        </w:trPr>
        <w:tc>
          <w:tcPr>
            <w:tcW w:type="dxa" w:w="3120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Attempt</w:t>
            </w:r>
          </w:p>
        </w:tc>
        <w:tc>
          <w:tcPr>
            <w:tcW w:type="dxa" w:w="4772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Defence</w:t>
            </w:r>
          </w:p>
        </w:tc>
        <w:tc>
          <w:tcPr>
            <w:tcW w:type="dxa" w:w="1468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rPr>
          <w:tblHeader w:val="false"/>
        </w:trPr>
        <w:tc>
          <w:tcPr>
            <w:tcW w:type="dxa" w:w="312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Buy institutional access and demand individual data</w:t>
            </w:r>
          </w:p>
        </w:tc>
        <w:tc>
          <w:tcPr>
            <w:tcW w:type="dxa" w:w="4772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Institutional reporting must be aggregate-only, with a floor on group size</w:t>
            </w:r>
          </w:p>
        </w:tc>
        <w:tc>
          <w:tcPr>
            <w:tcW w:type="dxa" w:w="146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❌ </w:t>
            </w:r>
            <w:r>
              <w:rPr>
                <w:b/>
                <w:bCs/>
                <w:color w:val="13272F"/>
                <w:sz w:val="17"/>
                <w:szCs w:val="17"/>
              </w:rPr>
              <w:t xml:space="preserve">not specified anywhere</w:t>
            </w:r>
          </w:p>
        </w:tc>
      </w:tr>
      <w:tr>
        <w:trPr>
          <w:tblHeader w:val="false"/>
        </w:trPr>
        <w:tc>
          <w:tcPr>
            <w:tcW w:type="dxa" w:w="3120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Ask support for a user's results</w:t>
            </w:r>
          </w:p>
        </w:tc>
        <w:tc>
          <w:tcPr>
            <w:tcW w:type="dxa" w:w="4772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Support access requires a mandatory </w:t>
            </w: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reason</w:t>
            </w:r>
            <w:r>
              <w:rPr>
                <w:color w:val="13272F"/>
                <w:sz w:val="17"/>
                <w:szCs w:val="17"/>
              </w:rPr>
              <w:t xml:space="preserve"> written to an append-only </w:t>
            </w: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audit_log</w:t>
            </w:r>
          </w:p>
        </w:tc>
        <w:tc>
          <w:tcPr>
            <w:tcW w:type="dxa" w:w="1468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DATA_MODEL</w:t>
            </w:r>
            <w:r>
              <w:rPr>
                <w:color w:val="13272F"/>
                <w:sz w:val="17"/>
                <w:szCs w:val="17"/>
              </w:rPr>
              <w:t xml:space="preserve"> §7.4 ✅</w:t>
            </w:r>
          </w:p>
        </w:tc>
      </w:tr>
      <w:tr>
        <w:trPr>
          <w:tblHeader w:val="false"/>
        </w:trPr>
        <w:tc>
          <w:tcPr>
            <w:tcW w:type="dxa" w:w="312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Compel disclosure legally</w:t>
            </w:r>
          </w:p>
        </w:tc>
        <w:tc>
          <w:tcPr>
            <w:tcW w:type="dxa" w:w="4772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Out of scope; standard legal process</w:t>
            </w:r>
          </w:p>
        </w:tc>
        <w:tc>
          <w:tcPr>
            <w:tcW w:type="dxa" w:w="146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—</w:t>
            </w:r>
          </w:p>
        </w:tc>
      </w:tr>
    </w:tbl>
    <w:p>
      <w:pPr>
        <w:spacing w:after="160"/>
      </w:pP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Action required.</w:t>
      </w:r>
      <w:r>
        <w:rPr>
          <w:color w:val="13272F"/>
          <w:sz w:val="20"/>
          <w:szCs w:val="20"/>
        </w:rPr>
        <w:t xml:space="preserve"> ADR-0015 preserves an institutional path but no document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states what an institution can and cannot see. **This needs an ADR before any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institutional feature is designed**, because it is a product-defining constraint,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not an implementation detail.</w:t>
      </w:r>
    </w:p>
    <w:p>
      <w:pPr>
        <w:pStyle w:val="Heading3"/>
        <w:spacing w:after="100" w:before="220"/>
      </w:pPr>
      <w:r>
        <w:rPr>
          <w:rFonts w:ascii="Georgia" w:cs="Georgia" w:eastAsia="Georgia" w:hAnsi="Georgia"/>
          <w:b/>
          <w:bCs/>
          <w:color w:val="13272F"/>
          <w:sz w:val="22"/>
          <w:szCs w:val="22"/>
        </w:rPr>
        <w:t xml:space="preserve">T4 · A credential-stuffing bot</w:t>
      </w:r>
    </w:p>
    <w:p>
      <w:pPr>
        <w:spacing w:after="120" w:before="60" w:line="300"/>
      </w:pPr>
      <w:r>
        <w:rPr>
          <w:i/>
          <w:iCs/>
          <w:color w:val="13272F"/>
          <w:sz w:val="20"/>
          <w:szCs w:val="20"/>
        </w:rPr>
        <w:t xml:space="preserve">Automated, indiscriminate, continuous once you are indexed.</w:t>
      </w:r>
    </w:p>
    <w:tbl>
      <w:tblPr>
        <w:tblW w:type="dxa" w:w="9360"/>
        <w:tblBorders>
          <w:top w:val="single" w:color="D6E2E6" w:sz="2"/>
          <w:left w:val="single" w:color="D6E2E6" w:sz="2"/>
          <w:bottom w:val="single" w:color="D6E2E6" w:sz="2"/>
          <w:right w:val="single" w:color="D6E2E6" w:sz="2"/>
          <w:insideH w:val="single" w:color="D6E2E6" w:sz="1"/>
          <w:insideV w:val="single" w:color="D6E2E6" w:sz="1"/>
        </w:tblBorders>
      </w:tblPr>
      <w:tblGrid>
        <w:gridCol w:w="2522"/>
        <w:gridCol w:w="5577"/>
        <w:gridCol w:w="1261"/>
      </w:tblGrid>
      <w:tr>
        <w:trPr>
          <w:tblHeader/>
        </w:trPr>
        <w:tc>
          <w:tcPr>
            <w:tcW w:type="dxa" w:w="2522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Attempt</w:t>
            </w:r>
          </w:p>
        </w:tc>
        <w:tc>
          <w:tcPr>
            <w:tcW w:type="dxa" w:w="5577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Defence</w:t>
            </w:r>
          </w:p>
        </w:tc>
        <w:tc>
          <w:tcPr>
            <w:tcW w:type="dxa" w:w="1261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rPr>
          <w:tblHeader w:val="false"/>
        </w:trPr>
        <w:tc>
          <w:tcPr>
            <w:tcW w:type="dxa" w:w="2522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Reused passwords from other breaches</w:t>
            </w:r>
          </w:p>
        </w:tc>
        <w:tc>
          <w:tcPr>
            <w:tcW w:type="dxa" w:w="5577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Supabase Auth</w:t>
            </w:r>
            <w:r>
              <w:rPr>
                <w:color w:val="13272F"/>
                <w:sz w:val="17"/>
                <w:szCs w:val="17"/>
              </w:rPr>
              <w:t xml:space="preserve"> owns credentials; we never see a password</w:t>
            </w:r>
          </w:p>
        </w:tc>
        <w:tc>
          <w:tcPr>
            <w:tcW w:type="dxa" w:w="126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ADR-0002</w:t>
            </w:r>
            <w:r>
              <w:rPr>
                <w:color w:val="13272F"/>
                <w:sz w:val="17"/>
                <w:szCs w:val="17"/>
              </w:rPr>
              <w:t xml:space="preserve"> ✅</w:t>
            </w:r>
          </w:p>
        </w:tc>
      </w:tr>
      <w:tr>
        <w:trPr>
          <w:tblHeader w:val="false"/>
        </w:trPr>
        <w:tc>
          <w:tcPr>
            <w:tcW w:type="dxa" w:w="2522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Brute force</w:t>
            </w:r>
          </w:p>
        </w:tc>
        <w:tc>
          <w:tcPr>
            <w:tcW w:type="dxa" w:w="5577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5 attempts / 15 min per email · 20 / hour per IP</w:t>
            </w:r>
          </w:p>
        </w:tc>
        <w:tc>
          <w:tcPr>
            <w:tcW w:type="dxa" w:w="1261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API_CONTRACT</w:t>
            </w:r>
            <w:r>
              <w:rPr>
                <w:color w:val="13272F"/>
                <w:sz w:val="17"/>
                <w:szCs w:val="17"/>
              </w:rPr>
              <w:t xml:space="preserve"> §2.9 ✅</w:t>
            </w:r>
          </w:p>
        </w:tc>
      </w:tr>
      <w:tr>
        <w:trPr>
          <w:tblHeader w:val="false"/>
        </w:trPr>
        <w:tc>
          <w:tcPr>
            <w:tcW w:type="dxa" w:w="2522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Stolen session token</w:t>
            </w:r>
          </w:p>
        </w:tc>
        <w:tc>
          <w:tcPr>
            <w:tcW w:type="dxa" w:w="5577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httpOnly cookies — JavaScript cannot read them; refresh rotates on use</w:t>
            </w:r>
          </w:p>
        </w:tc>
        <w:tc>
          <w:tcPr>
            <w:tcW w:type="dxa" w:w="126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UX_SPEC</w:t>
            </w:r>
            <w:r>
              <w:rPr>
                <w:color w:val="13272F"/>
                <w:sz w:val="17"/>
                <w:szCs w:val="17"/>
              </w:rPr>
              <w:t xml:space="preserve"> §6.1.3 ✅</w:t>
            </w:r>
          </w:p>
        </w:tc>
      </w:tr>
      <w:tr>
        <w:trPr>
          <w:tblHeader w:val="false"/>
        </w:trPr>
        <w:tc>
          <w:tcPr>
            <w:tcW w:type="dxa" w:w="2522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Account enumeration via error messages</w:t>
            </w:r>
          </w:p>
        </w:tc>
        <w:tc>
          <w:tcPr>
            <w:tcW w:type="dxa" w:w="5577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⚠️ </w:t>
            </w:r>
            <w:r>
              <w:rPr>
                <w:b/>
                <w:bCs/>
                <w:color w:val="13272F"/>
                <w:sz w:val="17"/>
                <w:szCs w:val="17"/>
              </w:rPr>
              <w:t xml:space="preserve">Not specified.</w:t>
            </w:r>
            <w:r>
              <w:rPr>
                <w:color w:val="13272F"/>
                <w:sz w:val="17"/>
                <w:szCs w:val="17"/>
              </w:rPr>
              <w:t xml:space="preserve"> Sign-in and password-reset must not reveal whether an email exists</w:t>
            </w:r>
          </w:p>
        </w:tc>
        <w:tc>
          <w:tcPr>
            <w:tcW w:type="dxa" w:w="1261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❌ </w:t>
            </w:r>
            <w:r>
              <w:rPr>
                <w:b/>
                <w:bCs/>
                <w:color w:val="13272F"/>
                <w:sz w:val="17"/>
                <w:szCs w:val="17"/>
              </w:rPr>
              <w:t xml:space="preserve">gap</w:t>
            </w:r>
          </w:p>
        </w:tc>
      </w:tr>
    </w:tbl>
    <w:p>
      <w:pPr>
        <w:spacing w:after="160"/>
      </w:pPr>
    </w:p>
    <w:p>
      <w:pPr>
        <w:pStyle w:val="Heading3"/>
        <w:spacing w:after="100" w:before="220"/>
      </w:pPr>
      <w:r>
        <w:rPr>
          <w:rFonts w:ascii="Georgia" w:cs="Georgia" w:eastAsia="Georgia" w:hAnsi="Georgia"/>
          <w:b/>
          <w:bCs/>
          <w:color w:val="13272F"/>
          <w:sz w:val="22"/>
          <w:szCs w:val="22"/>
        </w:rPr>
        <w:t xml:space="preserve">T5 · An opportunistic attacker scanning for known vulnerabilities</w:t>
      </w:r>
    </w:p>
    <w:p>
      <w:pPr>
        <w:spacing w:after="120" w:before="60" w:line="300"/>
      </w:pPr>
      <w:r>
        <w:rPr>
          <w:i/>
          <w:iCs/>
          <w:color w:val="13272F"/>
          <w:sz w:val="20"/>
          <w:szCs w:val="20"/>
        </w:rPr>
        <w:t xml:space="preserve">No interest in us specifically. Scanning everything.</w:t>
      </w:r>
    </w:p>
    <w:tbl>
      <w:tblPr>
        <w:tblW w:type="dxa" w:w="9360"/>
        <w:tblBorders>
          <w:top w:val="single" w:color="D6E2E6" w:sz="2"/>
          <w:left w:val="single" w:color="D6E2E6" w:sz="2"/>
          <w:bottom w:val="single" w:color="D6E2E6" w:sz="2"/>
          <w:right w:val="single" w:color="D6E2E6" w:sz="2"/>
          <w:insideH w:val="single" w:color="D6E2E6" w:sz="1"/>
          <w:insideV w:val="single" w:color="D6E2E6" w:sz="1"/>
        </w:tblBorders>
      </w:tblPr>
      <w:tblGrid>
        <w:gridCol w:w="1739"/>
        <w:gridCol w:w="5882"/>
        <w:gridCol w:w="1739"/>
      </w:tblGrid>
      <w:tr>
        <w:trPr>
          <w:tblHeader/>
        </w:trPr>
        <w:tc>
          <w:tcPr>
            <w:tcW w:type="dxa" w:w="1739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Attempt</w:t>
            </w:r>
          </w:p>
        </w:tc>
        <w:tc>
          <w:tcPr>
            <w:tcW w:type="dxa" w:w="5882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Defence</w:t>
            </w:r>
          </w:p>
        </w:tc>
        <w:tc>
          <w:tcPr>
            <w:tcW w:type="dxa" w:w="1739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rPr>
          <w:tblHeader w:val="false"/>
        </w:trPr>
        <w:tc>
          <w:tcPr>
            <w:tcW w:type="dxa" w:w="173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SQL injection</w:t>
            </w:r>
          </w:p>
        </w:tc>
        <w:tc>
          <w:tcPr>
            <w:tcW w:type="dxa" w:w="5882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ORM with parameterised queries; </w:t>
            </w:r>
            <w:r>
              <w:rPr>
                <w:b/>
                <w:bCs/>
                <w:color w:val="13272F"/>
                <w:sz w:val="17"/>
                <w:szCs w:val="17"/>
              </w:rPr>
              <w:t xml:space="preserve">plus RLS as a second line</w:t>
            </w:r>
            <w:r>
              <w:rPr>
                <w:color w:val="13272F"/>
                <w:sz w:val="17"/>
                <w:szCs w:val="17"/>
              </w:rPr>
              <w:t xml:space="preserve"> — an injected query still cannot read another user's rows</w:t>
            </w:r>
          </w:p>
        </w:tc>
        <w:tc>
          <w:tcPr>
            <w:tcW w:type="dxa" w:w="173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DATA_MODEL</w:t>
            </w:r>
            <w:r>
              <w:rPr>
                <w:color w:val="13272F"/>
                <w:sz w:val="17"/>
                <w:szCs w:val="17"/>
              </w:rPr>
              <w:t xml:space="preserve"> §10.1 ✅</w:t>
            </w:r>
          </w:p>
        </w:tc>
      </w:tr>
      <w:tr>
        <w:trPr>
          <w:tblHeader w:val="false"/>
        </w:trPr>
        <w:tc>
          <w:tcPr>
            <w:tcW w:type="dxa" w:w="1739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XSS → session theft</w:t>
            </w:r>
          </w:p>
        </w:tc>
        <w:tc>
          <w:tcPr>
            <w:tcW w:type="dxa" w:w="5882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httpOnly cookies mean XSS cannot exfiltrate the session; React escapes by default; CSP</w:t>
            </w:r>
          </w:p>
        </w:tc>
        <w:tc>
          <w:tcPr>
            <w:tcW w:type="dxa" w:w="1739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⚠️ </w:t>
            </w:r>
            <w:r>
              <w:rPr>
                <w:b/>
                <w:bCs/>
                <w:color w:val="13272F"/>
                <w:sz w:val="17"/>
                <w:szCs w:val="17"/>
              </w:rPr>
              <w:t xml:space="preserve">CSP not specified — §5.3</w:t>
            </w:r>
          </w:p>
        </w:tc>
      </w:tr>
      <w:tr>
        <w:trPr>
          <w:tblHeader w:val="false"/>
        </w:trPr>
        <w:tc>
          <w:tcPr>
            <w:tcW w:type="dxa" w:w="173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Known CVE in a dependency</w:t>
            </w:r>
          </w:p>
        </w:tc>
        <w:tc>
          <w:tcPr>
            <w:tcW w:type="dxa" w:w="5882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Automated dependency scanning</w:t>
            </w:r>
          </w:p>
        </w:tc>
        <w:tc>
          <w:tcPr>
            <w:tcW w:type="dxa" w:w="173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❌ </w:t>
            </w:r>
            <w:r>
              <w:rPr>
                <w:b/>
                <w:bCs/>
                <w:color w:val="13272F"/>
                <w:sz w:val="17"/>
                <w:szCs w:val="17"/>
              </w:rPr>
              <w:t xml:space="preserve">not specified — §5.2</w:t>
            </w:r>
          </w:p>
        </w:tc>
      </w:tr>
      <w:tr>
        <w:trPr>
          <w:tblHeader w:val="false"/>
        </w:trPr>
        <w:tc>
          <w:tcPr>
            <w:tcW w:type="dxa" w:w="1739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Leaked secret in the repository</w:t>
            </w:r>
          </w:p>
        </w:tc>
        <w:tc>
          <w:tcPr>
            <w:tcW w:type="dxa" w:w="5882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gitleaks</w:t>
            </w:r>
            <w:r>
              <w:rPr>
                <w:color w:val="13272F"/>
                <w:sz w:val="17"/>
                <w:szCs w:val="17"/>
              </w:rPr>
              <w:t xml:space="preserve"> in CI</w:t>
            </w:r>
          </w:p>
        </w:tc>
        <w:tc>
          <w:tcPr>
            <w:tcW w:type="dxa" w:w="1739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BUILD_PLAN</w:t>
            </w:r>
            <w:r>
              <w:rPr>
                <w:color w:val="13272F"/>
                <w:sz w:val="17"/>
                <w:szCs w:val="17"/>
              </w:rPr>
              <w:t xml:space="preserve"> T-006 ✅ planned</w:t>
            </w:r>
          </w:p>
        </w:tc>
      </w:tr>
      <w:tr>
        <w:trPr>
          <w:tblHeader w:val="false"/>
        </w:trPr>
        <w:tc>
          <w:tcPr>
            <w:tcW w:type="dxa" w:w="173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Forged Stripe webhook granting </w:t>
            </w: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pro</w:t>
            </w:r>
          </w:p>
        </w:tc>
        <w:tc>
          <w:tcPr>
            <w:tcW w:type="dxa" w:w="5882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Stripe signature verification</w:t>
            </w:r>
          </w:p>
        </w:tc>
        <w:tc>
          <w:tcPr>
            <w:tcW w:type="dxa" w:w="173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API_CONTRACT</w:t>
            </w:r>
            <w:r>
              <w:rPr>
                <w:color w:val="1327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/v1/webhooks/stripe</w:t>
            </w:r>
            <w:r>
              <w:rPr>
                <w:color w:val="13272F"/>
                <w:sz w:val="17"/>
                <w:szCs w:val="17"/>
              </w:rPr>
              <w:t xml:space="preserve"> ✅</w:t>
            </w:r>
          </w:p>
        </w:tc>
      </w:tr>
    </w:tbl>
    <w:p>
      <w:pPr>
        <w:spacing w:after="160"/>
      </w:pPr>
    </w:p>
    <w:p>
      <w:pPr>
        <w:pStyle w:val="Heading3"/>
        <w:spacing w:after="100" w:before="220"/>
      </w:pPr>
      <w:r>
        <w:rPr>
          <w:rFonts w:ascii="Georgia" w:cs="Georgia" w:eastAsia="Georgia" w:hAnsi="Georgia"/>
          <w:b/>
          <w:bCs/>
          <w:color w:val="13272F"/>
          <w:sz w:val="22"/>
          <w:szCs w:val="22"/>
        </w:rPr>
        <w:t xml:space="preserve">T6 · Us — accident, not malice</w:t>
      </w:r>
    </w:p>
    <w:p>
      <w:pPr>
        <w:spacing w:after="120" w:before="60" w:line="300"/>
      </w:pPr>
      <w:r>
        <w:rPr>
          <w:i/>
          <w:iCs/>
          <w:color w:val="13272F"/>
          <w:sz w:val="20"/>
          <w:szCs w:val="20"/>
        </w:rPr>
        <w:t xml:space="preserve">Statistically the most likely cause of an actual incident.</w:t>
      </w:r>
    </w:p>
    <w:tbl>
      <w:tblPr>
        <w:tblW w:type="dxa" w:w="9360"/>
        <w:tblBorders>
          <w:top w:val="single" w:color="D6E2E6" w:sz="2"/>
          <w:left w:val="single" w:color="D6E2E6" w:sz="2"/>
          <w:bottom w:val="single" w:color="D6E2E6" w:sz="2"/>
          <w:right w:val="single" w:color="D6E2E6" w:sz="2"/>
          <w:insideH w:val="single" w:color="D6E2E6" w:sz="1"/>
          <w:insideV w:val="single" w:color="D6E2E6" w:sz="1"/>
        </w:tblBorders>
      </w:tblPr>
      <w:tblGrid>
        <w:gridCol w:w="3502"/>
        <w:gridCol w:w="4530"/>
        <w:gridCol w:w="1328"/>
      </w:tblGrid>
      <w:tr>
        <w:trPr>
          <w:tblHeader/>
        </w:trPr>
        <w:tc>
          <w:tcPr>
            <w:tcW w:type="dxa" w:w="3502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Attempt</w:t>
            </w:r>
          </w:p>
        </w:tc>
        <w:tc>
          <w:tcPr>
            <w:tcW w:type="dxa" w:w="4530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Defence</w:t>
            </w:r>
          </w:p>
        </w:tc>
        <w:tc>
          <w:tcPr>
            <w:tcW w:type="dxa" w:w="1328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rPr>
          <w:tblHeader w:val="false"/>
        </w:trPr>
        <w:tc>
          <w:tcPr>
            <w:tcW w:type="dxa" w:w="3502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Secret committed to git</w:t>
            </w:r>
          </w:p>
        </w:tc>
        <w:tc>
          <w:tcPr>
            <w:tcW w:type="dxa" w:w="453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gitleaks</w:t>
            </w:r>
            <w:r>
              <w:rPr>
                <w:color w:val="13272F"/>
                <w:sz w:val="17"/>
                <w:szCs w:val="17"/>
              </w:rPr>
              <w:t xml:space="preserve"> in CI</w:t>
            </w:r>
          </w:p>
        </w:tc>
        <w:tc>
          <w:tcPr>
            <w:tcW w:type="dxa" w:w="132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T-006 ✅ planned</w:t>
            </w:r>
          </w:p>
        </w:tc>
      </w:tr>
      <w:tr>
        <w:trPr>
          <w:tblHeader w:val="false"/>
        </w:trPr>
        <w:tc>
          <w:tcPr>
            <w:tcW w:type="dxa" w:w="3502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Production database queried by hand, data pasted somewhere</w:t>
            </w:r>
          </w:p>
        </w:tc>
        <w:tc>
          <w:tcPr>
            <w:tcW w:type="dxa" w:w="4530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Access via migrations and admin console; direct access logged</w:t>
            </w:r>
          </w:p>
        </w:tc>
        <w:tc>
          <w:tcPr>
            <w:tcW w:type="dxa" w:w="1328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⚠️ partial</w:t>
            </w:r>
          </w:p>
        </w:tc>
      </w:tr>
      <w:tr>
        <w:trPr>
          <w:tblHeader w:val="false"/>
        </w:trPr>
        <w:tc>
          <w:tcPr>
            <w:tcW w:type="dxa" w:w="3502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Admin account compromised</w:t>
            </w:r>
          </w:p>
        </w:tc>
        <w:tc>
          <w:tcPr>
            <w:tcW w:type="dxa" w:w="453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MFA on admin accounts</w:t>
            </w:r>
          </w:p>
        </w:tc>
        <w:tc>
          <w:tcPr>
            <w:tcW w:type="dxa" w:w="132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❌ </w:t>
            </w:r>
            <w:r>
              <w:rPr>
                <w:b/>
                <w:bCs/>
                <w:color w:val="13272F"/>
                <w:sz w:val="17"/>
                <w:szCs w:val="17"/>
              </w:rPr>
              <w:t xml:space="preserve">not specified — §5.5</w:t>
            </w:r>
          </w:p>
        </w:tc>
      </w:tr>
      <w:tr>
        <w:trPr>
          <w:tblHeader w:val="false"/>
        </w:trPr>
        <w:tc>
          <w:tcPr>
            <w:tcW w:type="dxa" w:w="3502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PII written to logs</w:t>
            </w:r>
          </w:p>
        </w:tc>
        <w:tc>
          <w:tcPr>
            <w:tcW w:type="dxa" w:w="4530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Structured logging, </w:t>
            </w: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send_default_pii=False</w:t>
            </w:r>
            <w:r>
              <w:rPr>
                <w:color w:val="13272F"/>
                <w:sz w:val="17"/>
                <w:szCs w:val="17"/>
              </w:rPr>
              <w:t xml:space="preserve">, never raw question text at INFO</w:t>
            </w:r>
          </w:p>
        </w:tc>
        <w:tc>
          <w:tcPr>
            <w:tcW w:type="dxa" w:w="1328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TECH_SPEC</w:t>
            </w:r>
            <w:r>
              <w:rPr>
                <w:color w:val="13272F"/>
                <w:sz w:val="17"/>
                <w:szCs w:val="17"/>
              </w:rPr>
              <w:t xml:space="preserve"> §10 ✅</w:t>
            </w:r>
          </w:p>
        </w:tc>
      </w:tr>
      <w:tr>
        <w:trPr>
          <w:tblHeader w:val="false"/>
        </w:trPr>
        <w:tc>
          <w:tcPr>
            <w:tcW w:type="dxa" w:w="3502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Staging seeded with real user data</w:t>
            </w:r>
          </w:p>
        </w:tc>
        <w:tc>
          <w:tcPr>
            <w:tcW w:type="dxa" w:w="453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Staging uses an anonymised copy</w:t>
            </w:r>
          </w:p>
        </w:tc>
        <w:tc>
          <w:tcPr>
            <w:tcW w:type="dxa" w:w="132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TECH_SPEC</w:t>
            </w:r>
            <w:r>
              <w:rPr>
                <w:color w:val="13272F"/>
                <w:sz w:val="17"/>
                <w:szCs w:val="17"/>
              </w:rPr>
              <w:t xml:space="preserve"> §9.3 ✅</w:t>
            </w:r>
          </w:p>
        </w:tc>
      </w:tr>
    </w:tbl>
    <w:p>
      <w:pPr>
        <w:spacing w:after="160"/>
      </w:pPr>
    </w:p>
    <w:p>
      <w:pPr>
        <w:pStyle w:val="Heading3"/>
        <w:spacing w:after="100" w:before="220"/>
      </w:pPr>
      <w:r>
        <w:rPr>
          <w:rFonts w:ascii="Georgia" w:cs="Georgia" w:eastAsia="Georgia" w:hAnsi="Georgia"/>
          <w:b/>
          <w:bCs/>
          <w:color w:val="13272F"/>
          <w:sz w:val="22"/>
          <w:szCs w:val="22"/>
        </w:rPr>
        <w:t xml:space="preserve">T7 · A third party we depend on is breached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Supabase, Groq, Stripe, Render. **We cannot prevent this; we can limit blast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radius.**</w:t>
      </w:r>
    </w:p>
    <w:tbl>
      <w:tblPr>
        <w:tblW w:type="dxa" w:w="9360"/>
        <w:tblBorders>
          <w:top w:val="single" w:color="D6E2E6" w:sz="2"/>
          <w:left w:val="single" w:color="D6E2E6" w:sz="2"/>
          <w:bottom w:val="single" w:color="D6E2E6" w:sz="2"/>
          <w:right w:val="single" w:color="D6E2E6" w:sz="2"/>
          <w:insideH w:val="single" w:color="D6E2E6" w:sz="1"/>
          <w:insideV w:val="single" w:color="D6E2E6" w:sz="1"/>
        </w:tblBorders>
      </w:tblPr>
      <w:tblGrid>
        <w:gridCol w:w="928"/>
        <w:gridCol w:w="1846"/>
        <w:gridCol w:w="6586"/>
      </w:tblGrid>
      <w:tr>
        <w:trPr>
          <w:tblHeader/>
        </w:trPr>
        <w:tc>
          <w:tcPr>
            <w:tcW w:type="dxa" w:w="928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Provider</w:t>
            </w:r>
          </w:p>
        </w:tc>
        <w:tc>
          <w:tcPr>
            <w:tcW w:type="dxa" w:w="1846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Holds</w:t>
            </w:r>
          </w:p>
        </w:tc>
        <w:tc>
          <w:tcPr>
            <w:tcW w:type="dxa" w:w="6586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If breached</w:t>
            </w:r>
          </w:p>
        </w:tc>
      </w:tr>
      <w:tr>
        <w:trPr>
          <w:tblHeader w:val="false"/>
        </w:trPr>
        <w:tc>
          <w:tcPr>
            <w:tcW w:type="dxa" w:w="92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Supabase</w:t>
            </w:r>
          </w:p>
        </w:tc>
        <w:tc>
          <w:tcPr>
            <w:tcW w:type="dxa" w:w="184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Everything — database and auth</w:t>
            </w:r>
          </w:p>
        </w:tc>
        <w:tc>
          <w:tcPr>
            <w:tcW w:type="dxa" w:w="658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Total. This is the concentration risk accepted in </w:t>
            </w: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ADR-0001</w:t>
            </w:r>
          </w:p>
        </w:tc>
      </w:tr>
      <w:tr>
        <w:trPr>
          <w:tblHeader w:val="false"/>
        </w:trPr>
        <w:tc>
          <w:tcPr>
            <w:tcW w:type="dxa" w:w="928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Groq</w:t>
            </w:r>
          </w:p>
        </w:tc>
        <w:tc>
          <w:tcPr>
            <w:tcW w:type="dxa" w:w="1846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Prompts in transit</w:t>
            </w:r>
          </w:p>
        </w:tc>
        <w:tc>
          <w:tcPr>
            <w:tcW w:type="dxa" w:w="6586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Limited: </w:t>
            </w:r>
            <w:r>
              <w:rPr>
                <w:b/>
                <w:bCs/>
                <w:color w:val="13272F"/>
                <w:sz w:val="17"/>
                <w:szCs w:val="17"/>
              </w:rPr>
              <w:t xml:space="preserve">prompt and response bodies are never stored</w:t>
            </w:r>
            <w:r>
              <w:rPr>
                <w:color w:val="13272F"/>
                <w:sz w:val="17"/>
                <w:szCs w:val="17"/>
              </w:rPr>
              <w:t xml:space="preserve"> (</w:t>
            </w: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DATA_MODEL</w:t>
            </w:r>
            <w:r>
              <w:rPr>
                <w:color w:val="13272F"/>
                <w:sz w:val="17"/>
                <w:szCs w:val="17"/>
              </w:rPr>
              <w:t xml:space="preserve"> §10.3), and prompts carry no name or email</w:t>
            </w:r>
          </w:p>
        </w:tc>
      </w:tr>
      <w:tr>
        <w:trPr>
          <w:tblHeader w:val="false"/>
        </w:trPr>
        <w:tc>
          <w:tcPr>
            <w:tcW w:type="dxa" w:w="92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Stripe</w:t>
            </w:r>
          </w:p>
        </w:tc>
        <w:tc>
          <w:tcPr>
            <w:tcW w:type="dxa" w:w="184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Payment details</w:t>
            </w:r>
          </w:p>
        </w:tc>
        <w:tc>
          <w:tcPr>
            <w:tcW w:type="dxa" w:w="658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Their liability, their compliance surface. This is why we never touch cards</w:t>
            </w:r>
          </w:p>
        </w:tc>
      </w:tr>
      <w:tr>
        <w:trPr>
          <w:tblHeader w:val="false"/>
        </w:trPr>
        <w:tc>
          <w:tcPr>
            <w:tcW w:type="dxa" w:w="928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Render</w:t>
            </w:r>
          </w:p>
        </w:tc>
        <w:tc>
          <w:tcPr>
            <w:tcW w:type="dxa" w:w="1846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Runtime, environment variables</w:t>
            </w:r>
          </w:p>
        </w:tc>
        <w:tc>
          <w:tcPr>
            <w:tcW w:type="dxa" w:w="6586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Secrets exposed → rotate everything (§5.1)</w:t>
            </w:r>
          </w:p>
        </w:tc>
      </w:tr>
    </w:tbl>
    <w:p>
      <w:pPr>
        <w:spacing w:after="160"/>
      </w:pP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Supabase is a single point of failure for A1 through A5.</w:t>
      </w:r>
      <w:r>
        <w:rPr>
          <w:color w:val="13272F"/>
          <w:sz w:val="20"/>
          <w:szCs w:val="20"/>
        </w:rPr>
        <w:t xml:space="preserve"> That was accepted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knowingly in ADR-0001 — the alternative was operating our own Postgres with no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DBA, which is worse. It is recorded here as an accepted risk (§9), not solved.</w:t>
      </w:r>
    </w:p>
    <w:p>
      <w:pPr>
        <w:pBdr>
          <w:bottom w:val="single" w:color="D6E2E6" w:sz="6" w:space="2"/>
        </w:pBdr>
        <w:spacing w:after="120" w:before="120"/>
      </w:pPr>
      <w:r>
        <w:t xml:space="preserve"/>
      </w: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4 · The security model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Seven layers. Each cites its authority; details live there.</w:t>
      </w:r>
    </w:p>
    <w:p>
      <w:pPr>
        <w:pStyle w:val="Heading3"/>
        <w:spacing w:after="100" w:before="220"/>
      </w:pPr>
      <w:r>
        <w:rPr>
          <w:rFonts w:ascii="Georgia" w:cs="Georgia" w:eastAsia="Georgia" w:hAnsi="Georgia"/>
          <w:b/>
          <w:bCs/>
          <w:color w:val="13272F"/>
          <w:sz w:val="22"/>
          <w:szCs w:val="22"/>
        </w:rPr>
        <w:t xml:space="preserve">L1 · We never handle passwords — `ADR-0002`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Supabase Auth owns credentials. The backend verifies a JWT against Supabase's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JWKS (cached, 10-minute TTL) and reads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sub</w:t>
      </w:r>
      <w:r>
        <w:rPr>
          <w:color w:val="13272F"/>
          <w:sz w:val="20"/>
          <w:szCs w:val="20"/>
        </w:rPr>
        <w:t xml:space="preserve"> as the user id. **The backend never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sees a password.**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Building our own was costed at ~15 developer-days plus permanent liability,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against ~1 day to integrate. With no security reviewer, custom auth for medical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professionals' accounts is the worst available option.</w:t>
      </w:r>
    </w:p>
    <w:p>
      <w:pPr>
        <w:pStyle w:val="Heading3"/>
        <w:spacing w:after="100" w:before="220"/>
      </w:pPr>
      <w:r>
        <w:rPr>
          <w:rFonts w:ascii="Georgia" w:cs="Georgia" w:eastAsia="Georgia" w:hAnsi="Georgia"/>
          <w:b/>
          <w:bCs/>
          <w:color w:val="13272F"/>
          <w:sz w:val="22"/>
          <w:szCs w:val="22"/>
        </w:rPr>
        <w:t xml:space="preserve">L2 · Tokens in httpOnly cookies — `UX_SPEC` §6.1.3</w:t>
      </w:r>
    </w:p>
    <w:p>
      <w:pPr>
        <w:pBdr>
          <w:left w:val="single" w:color="1F7A8C" w:sz="12" w:space="8"/>
        </w:pBdr>
        <w:shd w:fill="F4F7F8" w:val="clear"/>
        <w:spacing w:after="0" w:before="10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sb-access-token    httpOnly · Secure · SameSite=Lax · ~1 h</w:t>
      </w:r>
    </w:p>
    <w:p>
      <w:pPr>
        <w:pBdr>
          <w:left w:val="single" w:color="1F7A8C" w:sz="12" w:space="8"/>
        </w:pBdr>
        <w:shd w:fill="F4F7F8" w:val="clear"/>
        <w:spacing w:after="14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sb-refresh-token   httpOnly · Secure · SameSite=Lax · 30 d, rotates on use</w:t>
      </w:r>
    </w:p>
    <w:p>
      <w:pPr>
        <w:spacing w:after="120" w:before="60" w:line="300"/>
      </w:pPr>
      <w:r>
        <w:rPr>
          <w:rFonts w:ascii="Consolas" w:cs="Consolas" w:eastAsia="Consolas" w:hAnsi="Consolas"/>
          <w:color w:val="B3651F"/>
          <w:sz w:val="18"/>
          <w:szCs w:val="18"/>
        </w:rPr>
        <w:t xml:space="preserve">httpOnly</w:t>
      </w:r>
      <w:r>
        <w:rPr>
          <w:color w:val="13272F"/>
          <w:sz w:val="20"/>
          <w:szCs w:val="20"/>
        </w:rPr>
        <w:t xml:space="preserve"> means JavaScript cannot read the cookie at all. The Supabase SDK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defaults to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localStorage</w:t>
      </w:r>
      <w:r>
        <w:rPr>
          <w:color w:val="13272F"/>
          <w:sz w:val="20"/>
          <w:szCs w:val="20"/>
        </w:rPr>
        <w:t xml:space="preserve">, which any injected script can read — one XSS bug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would leak a 30-day session. With cookies, XSS is still serious but cannot steal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the session.</w:t>
      </w:r>
    </w:p>
    <w:p>
      <w:pPr>
        <w:spacing w:after="120" w:before="60" w:line="300"/>
      </w:pPr>
      <w:r>
        <w:rPr>
          <w:rFonts w:ascii="Consolas" w:cs="Consolas" w:eastAsia="Consolas" w:hAnsi="Consolas"/>
          <w:color w:val="B3651F"/>
          <w:sz w:val="18"/>
          <w:szCs w:val="18"/>
        </w:rPr>
        <w:t xml:space="preserve">SameSite=Lax</w:t>
      </w:r>
      <w:r>
        <w:rPr>
          <w:color w:val="13272F"/>
          <w:sz w:val="20"/>
          <w:szCs w:val="20"/>
        </w:rPr>
        <w:t xml:space="preserve"> rather than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Strict</w:t>
      </w:r>
      <w:r>
        <w:rPr>
          <w:color w:val="13272F"/>
          <w:sz w:val="20"/>
          <w:szCs w:val="20"/>
        </w:rPr>
        <w:t xml:space="preserve"> because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Strict</w:t>
      </w:r>
      <w:r>
        <w:rPr>
          <w:color w:val="13272F"/>
          <w:sz w:val="20"/>
          <w:szCs w:val="20"/>
        </w:rPr>
        <w:t xml:space="preserve"> breaks the OAuth callback,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which arrives from an external origin.</w:t>
      </w:r>
    </w:p>
    <w:p>
      <w:pPr>
        <w:pStyle w:val="Heading3"/>
        <w:spacing w:after="100" w:before="220"/>
      </w:pPr>
      <w:r>
        <w:rPr>
          <w:rFonts w:ascii="Georgia" w:cs="Georgia" w:eastAsia="Georgia" w:hAnsi="Georgia"/>
          <w:b/>
          <w:bCs/>
          <w:color w:val="13272F"/>
          <w:sz w:val="22"/>
          <w:szCs w:val="22"/>
        </w:rPr>
        <w:t xml:space="preserve">L3 · The database refuses other people's rows — `DATA_MODEL` §10.1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Row-Level Security on eight tables. A forgotten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WHERE user_id = ...</w:t>
      </w:r>
      <w:r>
        <w:rPr>
          <w:color w:val="13272F"/>
          <w:sz w:val="20"/>
          <w:szCs w:val="20"/>
        </w:rPr>
        <w:t xml:space="preserve"> in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application code returns </w:t>
      </w:r>
      <w:r>
        <w:rPr>
          <w:b/>
          <w:bCs/>
          <w:color w:val="13272F"/>
          <w:sz w:val="20"/>
          <w:szCs w:val="20"/>
        </w:rPr>
        <w:t xml:space="preserve">nothing</w:t>
      </w:r>
      <w:r>
        <w:rPr>
          <w:color w:val="13272F"/>
          <w:sz w:val="20"/>
          <w:szCs w:val="20"/>
        </w:rPr>
        <w:t xml:space="preserve"> rather than another user's data.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This is the layer most teams skip, and it is the one that converts a routine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application bug into a non-event.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The exception is documented and bounded:</w:t>
      </w:r>
      <w:r>
        <w:rPr>
          <w:color w:val="13272F"/>
          <w:sz w:val="20"/>
          <w:szCs w:val="20"/>
        </w:rPr>
        <w:t xml:space="preserve"> anonymous trial sessions have no</w:t>
      </w:r>
    </w:p>
    <w:p>
      <w:pPr>
        <w:spacing w:after="120" w:before="60" w:line="300"/>
      </w:pPr>
      <w:r>
        <w:rPr>
          <w:rFonts w:ascii="Consolas" w:cs="Consolas" w:eastAsia="Consolas" w:hAnsi="Consolas"/>
          <w:color w:val="B3651F"/>
          <w:sz w:val="18"/>
          <w:szCs w:val="18"/>
        </w:rPr>
        <w:t xml:space="preserve">auth.uid()</w:t>
      </w:r>
      <w:r>
        <w:rPr>
          <w:color w:val="13272F"/>
          <w:sz w:val="20"/>
          <w:szCs w:val="20"/>
        </w:rPr>
        <w:t xml:space="preserve">, so they are served through a service-role connection with an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explicit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anonymous_id</w:t>
      </w:r>
      <w:r>
        <w:rPr>
          <w:color w:val="13272F"/>
          <w:sz w:val="20"/>
          <w:szCs w:val="20"/>
        </w:rPr>
        <w:t xml:space="preserve"> filter. That path is short, isolated, and separately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tested — deliberately, because it is the one place the safety net is off.</w:t>
      </w:r>
    </w:p>
    <w:p>
      <w:pPr>
        <w:pStyle w:val="Heading3"/>
        <w:spacing w:after="100" w:before="220"/>
      </w:pPr>
      <w:r>
        <w:rPr>
          <w:rFonts w:ascii="Georgia" w:cs="Georgia" w:eastAsia="Georgia" w:hAnsi="Georgia"/>
          <w:b/>
          <w:bCs/>
          <w:color w:val="13272F"/>
          <w:sz w:val="22"/>
          <w:szCs w:val="22"/>
        </w:rPr>
        <w:t xml:space="preserve">L4 · Ownership failures return 404 — `API_CONTRACT` §2.7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A 403 confirms the resource exists. Another user's session is indistinguishable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from a session that does not exist. Admin routes behave the same way: an admin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surface should not confirm its own existence to a non-admin.</w:t>
      </w:r>
    </w:p>
    <w:p>
      <w:pPr>
        <w:pStyle w:val="Heading3"/>
        <w:spacing w:after="100" w:before="220"/>
      </w:pPr>
      <w:r>
        <w:rPr>
          <w:rFonts w:ascii="Georgia" w:cs="Georgia" w:eastAsia="Georgia" w:hAnsi="Georgia"/>
          <w:b/>
          <w:bCs/>
          <w:color w:val="13272F"/>
          <w:sz w:val="22"/>
          <w:szCs w:val="22"/>
        </w:rPr>
        <w:t xml:space="preserve">L5 · Rate limits — `API_CONTRACT` §2.9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Login attempts, questions per hour, sessions per day, admin ingestion runs. These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serve two purposes: stopping brute force, and stopping someone running up the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Groq bill. The second is easy to forget and arrives as an invoice.</w:t>
      </w:r>
    </w:p>
    <w:p>
      <w:pPr>
        <w:pStyle w:val="Heading3"/>
        <w:spacing w:after="100" w:before="220"/>
      </w:pPr>
      <w:r>
        <w:rPr>
          <w:rFonts w:ascii="Georgia" w:cs="Georgia" w:eastAsia="Georgia" w:hAnsi="Georgia"/>
          <w:b/>
          <w:bCs/>
          <w:color w:val="13272F"/>
          <w:sz w:val="22"/>
          <w:szCs w:val="22"/>
        </w:rPr>
        <w:t xml:space="preserve">L6 · The LLM is outside the trust boundary — `ADR-0005`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Every flag, score and verdict is deterministic Python. The model voices the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patient and writes feedback prose. </w:t>
      </w:r>
      <w:r>
        <w:rPr>
          <w:b/>
          <w:bCs/>
          <w:color w:val="13272F"/>
          <w:sz w:val="20"/>
          <w:szCs w:val="20"/>
        </w:rPr>
        <w:t xml:space="preserve">It cannot influence a result</w:t>
      </w:r>
      <w:r>
        <w:rPr>
          <w:color w:val="13272F"/>
          <w:sz w:val="20"/>
          <w:szCs w:val="20"/>
        </w:rPr>
        <w:t xml:space="preserve">, so prompt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injection cannot change anyone's score — the worst it achieves is a strange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patient reply.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This was chosen for measurement integrity, not security. It happens to remove an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entire class of attack, and it is worth understanding as a security property:</w:t>
      </w:r>
    </w:p>
    <w:p>
      <w:pPr>
        <w:spacing w:after="120" w:before="60" w:line="300"/>
      </w:pPr>
      <w:r>
        <w:rPr>
          <w:i/>
          <w:iCs/>
          <w:color w:val="13272F"/>
          <w:sz w:val="20"/>
          <w:szCs w:val="20"/>
        </w:rPr>
        <w:t xml:space="preserve">the untrusted component has no authority.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Enforced structurally by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tests/test_layering.py</w:t>
      </w:r>
      <w:r>
        <w:rPr>
          <w:color w:val="13272F"/>
          <w:sz w:val="20"/>
          <w:szCs w:val="20"/>
        </w:rPr>
        <w:t xml:space="preserve">, which forbids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groq</w:t>
      </w:r>
      <w:r>
        <w:rPr>
          <w:color w:val="13272F"/>
          <w:sz w:val="20"/>
          <w:szCs w:val="20"/>
        </w:rPr>
        <w:t xml:space="preserve"> in</w:t>
      </w:r>
    </w:p>
    <w:p>
      <w:pPr>
        <w:spacing w:after="120" w:before="60" w:line="300"/>
      </w:pPr>
      <w:r>
        <w:rPr>
          <w:rFonts w:ascii="Consolas" w:cs="Consolas" w:eastAsia="Consolas" w:hAnsi="Consolas"/>
          <w:color w:val="B3651F"/>
          <w:sz w:val="18"/>
          <w:szCs w:val="18"/>
        </w:rPr>
        <w:t xml:space="preserve">domain/</w:t>
      </w:r>
      <w:r>
        <w:rPr>
          <w:color w:val="13272F"/>
          <w:sz w:val="20"/>
          <w:szCs w:val="20"/>
        </w:rPr>
        <w:t xml:space="preserve"> (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TEST_STRATEGY</w:t>
      </w:r>
      <w:r>
        <w:rPr>
          <w:color w:val="13272F"/>
          <w:sz w:val="20"/>
          <w:szCs w:val="20"/>
        </w:rPr>
        <w:t xml:space="preserve"> §5).</w:t>
      </w:r>
    </w:p>
    <w:p>
      <w:pPr>
        <w:pStyle w:val="Heading3"/>
        <w:spacing w:after="100" w:before="220"/>
      </w:pPr>
      <w:r>
        <w:rPr>
          <w:rFonts w:ascii="Georgia" w:cs="Georgia" w:eastAsia="Georgia" w:hAnsi="Georgia"/>
          <w:b/>
          <w:bCs/>
          <w:color w:val="13272F"/>
          <w:sz w:val="22"/>
          <w:szCs w:val="22"/>
        </w:rPr>
        <w:t xml:space="preserve">L7 · Deletion, retention, and audit — `DATA_MODEL` §10.2, §10.3, §7.4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Account deletion nulls personal fields, redacts free text, and cancels billing in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one transaction.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session_results</w:t>
      </w:r>
      <w:r>
        <w:rPr>
          <w:color w:val="13272F"/>
          <w:sz w:val="20"/>
          <w:szCs w:val="20"/>
        </w:rPr>
        <w:t xml:space="preserve"> and the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research_pid</w:t>
      </w:r>
      <w:r>
        <w:rPr>
          <w:color w:val="13272F"/>
          <w:sz w:val="20"/>
          <w:szCs w:val="20"/>
        </w:rPr>
        <w:t xml:space="preserve"> link </w:t>
      </w:r>
      <w:r>
        <w:rPr>
          <w:b/>
          <w:bCs/>
          <w:color w:val="13272F"/>
          <w:sz w:val="20"/>
          <w:szCs w:val="20"/>
        </w:rPr>
        <w:t xml:space="preserve">survive</w:t>
      </w:r>
      <w:r>
        <w:rPr>
          <w:color w:val="13272F"/>
          <w:sz w:val="20"/>
          <w:szCs w:val="20"/>
        </w:rPr>
        <w:t xml:space="preserve">, so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published analyses stay reproducible — and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UX_SPEC</w:t>
      </w:r>
      <w:r>
        <w:rPr>
          <w:color w:val="13272F"/>
          <w:sz w:val="20"/>
          <w:szCs w:val="20"/>
        </w:rPr>
        <w:t xml:space="preserve"> S-20 must say so plainly on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the confirmation screen. A user has a right to know what does not disappear.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Every admin action writes to an append-only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audit_log</w:t>
      </w:r>
      <w:r>
        <w:rPr>
          <w:color w:val="13272F"/>
          <w:sz w:val="20"/>
          <w:szCs w:val="20"/>
        </w:rPr>
        <w:t xml:space="preserve"> with a mandatory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reason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for support access to a user's session.</w:t>
      </w:r>
    </w:p>
    <w:p>
      <w:pPr>
        <w:pBdr>
          <w:bottom w:val="single" w:color="D6E2E6" w:sz="6" w:space="2"/>
        </w:pBdr>
        <w:spacing w:after="120" w:before="120"/>
      </w:pPr>
      <w:r>
        <w:t xml:space="preserve"/>
      </w: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5 · What this document adds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Gaps in the existing specification. Nothing below is written anywhere else.</w:t>
      </w:r>
    </w:p>
    <w:p>
      <w:pPr>
        <w:pStyle w:val="Heading3"/>
        <w:spacing w:after="100" w:before="220"/>
      </w:pPr>
      <w:r>
        <w:rPr>
          <w:rFonts w:ascii="Georgia" w:cs="Georgia" w:eastAsia="Georgia" w:hAnsi="Georgia"/>
          <w:b/>
          <w:bCs/>
          <w:color w:val="13272F"/>
          <w:sz w:val="22"/>
          <w:szCs w:val="22"/>
        </w:rPr>
        <w:t xml:space="preserve">5.1 · Secrets lifecycle</w:t>
      </w:r>
    </w:p>
    <w:p>
      <w:pPr>
        <w:spacing w:after="120" w:before="60" w:line="300"/>
      </w:pPr>
      <w:r>
        <w:rPr>
          <w:rFonts w:ascii="Consolas" w:cs="Consolas" w:eastAsia="Consolas" w:hAnsi="Consolas"/>
          <w:color w:val="B3651F"/>
          <w:sz w:val="18"/>
          <w:szCs w:val="18"/>
        </w:rPr>
        <w:t xml:space="preserve">BUILD_PLAN</w:t>
      </w:r>
      <w:r>
        <w:rPr>
          <w:color w:val="13272F"/>
          <w:sz w:val="20"/>
          <w:szCs w:val="20"/>
        </w:rPr>
        <w:t xml:space="preserve"> T-006 covers detection (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gitleaks</w:t>
      </w:r>
      <w:r>
        <w:rPr>
          <w:color w:val="13272F"/>
          <w:sz w:val="20"/>
          <w:szCs w:val="20"/>
        </w:rPr>
        <w:t xml:space="preserve">) but not handling.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Rules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color w:val="13272F"/>
          <w:sz w:val="20"/>
          <w:szCs w:val="20"/>
        </w:rPr>
        <w:t xml:space="preserve">No secret in the repository. Ever.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.env</w:t>
      </w:r>
      <w:r>
        <w:rPr>
          <w:color w:val="13272F"/>
          <w:sz w:val="20"/>
          <w:szCs w:val="20"/>
        </w:rPr>
        <w:t xml:space="preserve"> is git-ignored;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.env.example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   documents every variable with a </w:t>
      </w:r>
      <w:r>
        <w:rPr>
          <w:b/>
          <w:bCs/>
          <w:color w:val="13272F"/>
          <w:sz w:val="20"/>
          <w:szCs w:val="20"/>
        </w:rPr>
        <w:t xml:space="preserve">placeholder, never a real value</w:t>
      </w:r>
      <w:r>
        <w:rPr>
          <w:color w:val="13272F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color w:val="13272F"/>
          <w:sz w:val="20"/>
          <w:szCs w:val="20"/>
        </w:rPr>
        <w:t xml:space="preserve">Secrets live in the platform's environment configuration (Render), not in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   files on disk, not in CI YAML, not in a shared document.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color w:val="13272F"/>
          <w:sz w:val="20"/>
          <w:szCs w:val="20"/>
        </w:rPr>
        <w:t xml:space="preserve">Different values per environment. **Staging must never hold a production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   credential** — that silently makes staging a production-grade target.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color w:val="13272F"/>
          <w:sz w:val="20"/>
          <w:szCs w:val="20"/>
        </w:rPr>
        <w:t xml:space="preserve">Every secret has a named owner and a rotation date.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Rotation schedule</w:t>
      </w:r>
    </w:p>
    <w:tbl>
      <w:tblPr>
        <w:tblW w:type="dxa" w:w="9360"/>
        <w:tblBorders>
          <w:top w:val="single" w:color="D6E2E6" w:sz="2"/>
          <w:left w:val="single" w:color="D6E2E6" w:sz="2"/>
          <w:bottom w:val="single" w:color="D6E2E6" w:sz="2"/>
          <w:right w:val="single" w:color="D6E2E6" w:sz="2"/>
          <w:insideH w:val="single" w:color="D6E2E6" w:sz="1"/>
          <w:insideV w:val="single" w:color="D6E2E6" w:sz="1"/>
        </w:tblBorders>
      </w:tblPr>
      <w:tblGrid>
        <w:gridCol w:w="2962"/>
        <w:gridCol w:w="1066"/>
        <w:gridCol w:w="5332"/>
      </w:tblGrid>
      <w:tr>
        <w:trPr>
          <w:tblHeader/>
        </w:trPr>
        <w:tc>
          <w:tcPr>
            <w:tcW w:type="dxa" w:w="2962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Secret</w:t>
            </w:r>
          </w:p>
        </w:tc>
        <w:tc>
          <w:tcPr>
            <w:tcW w:type="dxa" w:w="1066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Rotate</w:t>
            </w:r>
          </w:p>
        </w:tc>
        <w:tc>
          <w:tcPr>
            <w:tcW w:type="dxa" w:w="5332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On compromise</w:t>
            </w:r>
          </w:p>
        </w:tc>
      </w:tr>
      <w:tr>
        <w:trPr>
          <w:tblHeader w:val="false"/>
        </w:trPr>
        <w:tc>
          <w:tcPr>
            <w:tcW w:type="dxa" w:w="2962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GROQ_API_KEY</w:t>
            </w:r>
          </w:p>
        </w:tc>
        <w:tc>
          <w:tcPr>
            <w:tcW w:type="dxa" w:w="106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12 months</w:t>
            </w:r>
          </w:p>
        </w:tc>
        <w:tc>
          <w:tcPr>
            <w:tcW w:type="dxa" w:w="5332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Immediately; revoke old key first</w:t>
            </w:r>
          </w:p>
        </w:tc>
      </w:tr>
      <w:tr>
        <w:trPr>
          <w:tblHeader w:val="false"/>
        </w:trPr>
        <w:tc>
          <w:tcPr>
            <w:tcW w:type="dxa" w:w="2962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Supabase service-role key</w:t>
            </w:r>
          </w:p>
        </w:tc>
        <w:tc>
          <w:tcPr>
            <w:tcW w:type="dxa" w:w="1066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12 months</w:t>
            </w:r>
          </w:p>
        </w:tc>
        <w:tc>
          <w:tcPr>
            <w:tcW w:type="dxa" w:w="5332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Immediately — </w:t>
            </w:r>
            <w:r>
              <w:rPr>
                <w:b/>
                <w:bCs/>
                <w:color w:val="13272F"/>
                <w:sz w:val="17"/>
                <w:szCs w:val="17"/>
              </w:rPr>
              <w:t xml:space="preserve">this bypasses RLS</w:t>
            </w:r>
          </w:p>
        </w:tc>
      </w:tr>
      <w:tr>
        <w:trPr>
          <w:tblHeader w:val="false"/>
        </w:trPr>
        <w:tc>
          <w:tcPr>
            <w:tcW w:type="dxa" w:w="2962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FLASK_SECRET_KEY</w:t>
            </w:r>
          </w:p>
        </w:tc>
        <w:tc>
          <w:tcPr>
            <w:tcW w:type="dxa" w:w="106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12 months</w:t>
            </w:r>
          </w:p>
        </w:tc>
        <w:tc>
          <w:tcPr>
            <w:tcW w:type="dxa" w:w="5332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Immediately; invalidates all sessions</w:t>
            </w:r>
          </w:p>
        </w:tc>
      </w:tr>
      <w:tr>
        <w:trPr>
          <w:tblHeader w:val="false"/>
        </w:trPr>
        <w:tc>
          <w:tcPr>
            <w:tcW w:type="dxa" w:w="2962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Stripe secret key</w:t>
            </w:r>
          </w:p>
        </w:tc>
        <w:tc>
          <w:tcPr>
            <w:tcW w:type="dxa" w:w="1066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12 months</w:t>
            </w:r>
          </w:p>
        </w:tc>
        <w:tc>
          <w:tcPr>
            <w:tcW w:type="dxa" w:w="5332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Via Stripe dashboard; roll webhook secret too</w:t>
            </w:r>
          </w:p>
        </w:tc>
      </w:tr>
      <w:tr>
        <w:trPr>
          <w:tblHeader w:val="false"/>
        </w:trPr>
        <w:tc>
          <w:tcPr>
            <w:tcW w:type="dxa" w:w="2962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Database password</w:t>
            </w:r>
          </w:p>
        </w:tc>
        <w:tc>
          <w:tcPr>
            <w:tcW w:type="dxa" w:w="106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12 months</w:t>
            </w:r>
          </w:p>
        </w:tc>
        <w:tc>
          <w:tcPr>
            <w:tcW w:type="dxa" w:w="5332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Immediately</w:t>
            </w:r>
          </w:p>
        </w:tc>
      </w:tr>
    </w:tbl>
    <w:p>
      <w:pPr>
        <w:spacing w:after="160"/>
      </w:pP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**If a secret is ever committed, rotating it is mandatory even after the commit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is removed.** Git history is distributed; assume it was cloned. Deleting the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commit is theatre.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The Supabase </w:t>
      </w:r>
      <w:r>
        <w:rPr>
          <w:b/>
          <w:bCs/>
          <w:color w:val="13272F"/>
          <w:sz w:val="20"/>
          <w:szCs w:val="20"/>
        </w:rPr>
        <w:t xml:space="preserve">service-role key deserves separate care</w:t>
      </w:r>
      <w:r>
        <w:rPr>
          <w:color w:val="13272F"/>
          <w:sz w:val="20"/>
          <w:szCs w:val="20"/>
        </w:rPr>
        <w:t xml:space="preserve"> — it bypasses Row-Level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Security entirely, which means it defeats L3, the layer everything else falls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back on. It should exist in exactly one place in production and never in a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developer's local environment.</w:t>
      </w:r>
    </w:p>
    <w:p>
      <w:pPr>
        <w:pStyle w:val="Heading3"/>
        <w:spacing w:after="100" w:before="220"/>
      </w:pPr>
      <w:r>
        <w:rPr>
          <w:rFonts w:ascii="Georgia" w:cs="Georgia" w:eastAsia="Georgia" w:hAnsi="Georgia"/>
          <w:b/>
          <w:bCs/>
          <w:color w:val="13272F"/>
          <w:sz w:val="22"/>
          <w:szCs w:val="22"/>
        </w:rPr>
        <w:t xml:space="preserve">5.2 · Dependencies and supply chain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Not mentioned anywhere in the specification today.</w:t>
      </w:r>
      <w:r>
        <w:rPr>
          <w:color w:val="13272F"/>
          <w:sz w:val="20"/>
          <w:szCs w:val="20"/>
        </w:rPr>
        <w:t xml:space="preserve"> For a project whose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frontend will pull hundreds of transitive npm packages, that is a real hole —</w:t>
      </w:r>
    </w:p>
    <w:p>
      <w:pPr>
        <w:spacing w:after="120" w:before="60" w:line="300"/>
      </w:pPr>
      <w:r>
        <w:rPr>
          <w:rFonts w:ascii="Consolas" w:cs="Consolas" w:eastAsia="Consolas" w:hAnsi="Consolas"/>
          <w:color w:val="B3651F"/>
          <w:sz w:val="18"/>
          <w:szCs w:val="18"/>
        </w:rPr>
        <w:t xml:space="preserve">ADR-0006</w:t>
      </w:r>
      <w:r>
        <w:rPr>
          <w:color w:val="13272F"/>
          <w:sz w:val="20"/>
          <w:szCs w:val="20"/>
        </w:rPr>
        <w:t xml:space="preserve"> itself names JavaScript dependency churn as an ongoing cost.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Rules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b/>
          <w:bCs/>
          <w:color w:val="13272F"/>
          <w:sz w:val="20"/>
          <w:szCs w:val="20"/>
        </w:rPr>
        <w:t xml:space="preserve">Lock files committed</w:t>
      </w:r>
      <w:r>
        <w:rPr>
          <w:color w:val="13272F"/>
          <w:sz w:val="20"/>
          <w:szCs w:val="20"/>
        </w:rPr>
        <w:t xml:space="preserve"> —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poetry.lock</w:t>
      </w:r>
      <w:r>
        <w:rPr>
          <w:color w:val="13272F"/>
          <w:sz w:val="20"/>
          <w:szCs w:val="20"/>
        </w:rPr>
        <w:t xml:space="preserve"> /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package-lock.json</w:t>
      </w:r>
      <w:r>
        <w:rPr>
          <w:color w:val="13272F"/>
          <w:sz w:val="20"/>
          <w:szCs w:val="20"/>
        </w:rPr>
        <w:t xml:space="preserve">. An unlocked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   build installs different code on different days.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b/>
          <w:bCs/>
          <w:color w:val="13272F"/>
          <w:sz w:val="20"/>
          <w:szCs w:val="20"/>
        </w:rPr>
        <w:t xml:space="preserve">Automated scanning in CI</w:t>
      </w:r>
      <w:r>
        <w:rPr>
          <w:color w:val="13272F"/>
          <w:sz w:val="20"/>
          <w:szCs w:val="20"/>
        </w:rPr>
        <w:t xml:space="preserve">, failing the build on High or Critical: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  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pip-audit</w:t>
      </w:r>
      <w:r>
        <w:rPr>
          <w:color w:val="13272F"/>
          <w:sz w:val="20"/>
          <w:szCs w:val="20"/>
        </w:rPr>
        <w:t xml:space="preserve"> for Python,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npm audit --audit-level=high</w:t>
      </w:r>
      <w:r>
        <w:rPr>
          <w:color w:val="13272F"/>
          <w:sz w:val="20"/>
          <w:szCs w:val="20"/>
        </w:rPr>
        <w:t xml:space="preserve"> for JavaScript.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b/>
          <w:bCs/>
          <w:color w:val="13272F"/>
          <w:sz w:val="20"/>
          <w:szCs w:val="20"/>
        </w:rPr>
        <w:t xml:space="preserve">Dependabot</w:t>
      </w:r>
      <w:r>
        <w:rPr>
          <w:color w:val="13272F"/>
          <w:sz w:val="20"/>
          <w:szCs w:val="20"/>
        </w:rPr>
        <w:t xml:space="preserve"> enabled for security updates only. Not feature updates —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   otherwise the noise trains everyone to ignore it.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b/>
          <w:bCs/>
          <w:color w:val="13272F"/>
          <w:sz w:val="20"/>
          <w:szCs w:val="20"/>
        </w:rPr>
        <w:t xml:space="preserve">Adding a dependency is a decision.</w:t>
      </w:r>
      <w:r>
        <w:rPr>
          <w:color w:val="13272F"/>
          <w:sz w:val="20"/>
          <w:szCs w:val="20"/>
        </w:rPr>
        <w:t xml:space="preserve"> Before adding one, ask whether the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   standard library does it. Each one is code we did not write, cannot review,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   and are responsible for.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b/>
          <w:bCs/>
          <w:color w:val="13272F"/>
          <w:sz w:val="20"/>
          <w:szCs w:val="20"/>
        </w:rPr>
        <w:t xml:space="preserve">Pin the base Docker image by digest</w:t>
      </w:r>
      <w:r>
        <w:rPr>
          <w:color w:val="13272F"/>
          <w:sz w:val="20"/>
          <w:szCs w:val="20"/>
        </w:rPr>
        <w:t xml:space="preserve">, not by tag.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python:3.11-slim</w:t>
      </w:r>
      <w:r>
        <w:rPr>
          <w:color w:val="13272F"/>
          <w:sz w:val="20"/>
          <w:szCs w:val="20"/>
        </w:rPr>
        <w:t xml:space="preserve"> is a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   moving target.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The CI pipeline in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TECH_SPEC</w:t>
      </w:r>
      <w:r>
        <w:rPr>
          <w:color w:val="13272F"/>
          <w:sz w:val="20"/>
          <w:szCs w:val="20"/>
        </w:rPr>
        <w:t xml:space="preserve"> §9.4 already has a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security</w:t>
      </w:r>
      <w:r>
        <w:rPr>
          <w:color w:val="13272F"/>
          <w:sz w:val="20"/>
          <w:szCs w:val="20"/>
        </w:rPr>
        <w:t xml:space="preserve"> step. **This section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defines what that step runs**, which was previously undefined.</w:t>
      </w:r>
    </w:p>
    <w:p>
      <w:pPr>
        <w:pStyle w:val="Heading3"/>
        <w:spacing w:after="100" w:before="220"/>
      </w:pPr>
      <w:r>
        <w:rPr>
          <w:rFonts w:ascii="Georgia" w:cs="Georgia" w:eastAsia="Georgia" w:hAnsi="Georgia"/>
          <w:b/>
          <w:bCs/>
          <w:color w:val="13272F"/>
          <w:sz w:val="22"/>
          <w:szCs w:val="22"/>
        </w:rPr>
        <w:t xml:space="preserve">5.3 · HTTP security headers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Not specified anywhere. Set at the edge, applying to every response.</w:t>
      </w:r>
    </w:p>
    <w:tbl>
      <w:tblPr>
        <w:tblW w:type="dxa" w:w="9360"/>
        <w:tblBorders>
          <w:top w:val="single" w:color="D6E2E6" w:sz="2"/>
          <w:left w:val="single" w:color="D6E2E6" w:sz="2"/>
          <w:bottom w:val="single" w:color="D6E2E6" w:sz="2"/>
          <w:right w:val="single" w:color="D6E2E6" w:sz="2"/>
          <w:insideH w:val="single" w:color="D6E2E6" w:sz="1"/>
          <w:insideV w:val="single" w:color="D6E2E6" w:sz="1"/>
        </w:tblBorders>
      </w:tblPr>
      <w:tblGrid>
        <w:gridCol w:w="2108"/>
        <w:gridCol w:w="3372"/>
        <w:gridCol w:w="3880"/>
      </w:tblGrid>
      <w:tr>
        <w:trPr>
          <w:tblHeader/>
        </w:trPr>
        <w:tc>
          <w:tcPr>
            <w:tcW w:type="dxa" w:w="2108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Header</w:t>
            </w:r>
          </w:p>
        </w:tc>
        <w:tc>
          <w:tcPr>
            <w:tcW w:type="dxa" w:w="3372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  <w:tc>
          <w:tcPr>
            <w:tcW w:type="dxa" w:w="3880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Why</w:t>
            </w:r>
          </w:p>
        </w:tc>
      </w:tr>
      <w:tr>
        <w:trPr>
          <w:tblHeader w:val="false"/>
        </w:trPr>
        <w:tc>
          <w:tcPr>
            <w:tcW w:type="dxa" w:w="210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Strict-Transport-Security</w:t>
            </w:r>
          </w:p>
        </w:tc>
        <w:tc>
          <w:tcPr>
            <w:tcW w:type="dxa" w:w="3372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max-age=31536000; includeSubDomains</w:t>
            </w:r>
          </w:p>
        </w:tc>
        <w:tc>
          <w:tcPr>
            <w:tcW w:type="dxa" w:w="388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Browser refuses plain HTTP after first visit</w:t>
            </w:r>
          </w:p>
        </w:tc>
      </w:tr>
      <w:tr>
        <w:trPr>
          <w:tblHeader w:val="false"/>
        </w:trPr>
        <w:tc>
          <w:tcPr>
            <w:tcW w:type="dxa" w:w="2108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Content-Security-Policy</w:t>
            </w:r>
          </w:p>
        </w:tc>
        <w:tc>
          <w:tcPr>
            <w:tcW w:type="dxa" w:w="3372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see below</w:t>
            </w:r>
          </w:p>
        </w:tc>
        <w:tc>
          <w:tcPr>
            <w:tcW w:type="dxa" w:w="3880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The main structural defence against XSS</w:t>
            </w:r>
          </w:p>
        </w:tc>
      </w:tr>
      <w:tr>
        <w:trPr>
          <w:tblHeader w:val="false"/>
        </w:trPr>
        <w:tc>
          <w:tcPr>
            <w:tcW w:type="dxa" w:w="210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X-Content-Type-Options</w:t>
            </w:r>
          </w:p>
        </w:tc>
        <w:tc>
          <w:tcPr>
            <w:tcW w:type="dxa" w:w="3372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nosniff</w:t>
            </w:r>
          </w:p>
        </w:tc>
        <w:tc>
          <w:tcPr>
            <w:tcW w:type="dxa" w:w="388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Stops MIME-type confusion attacks</w:t>
            </w:r>
          </w:p>
        </w:tc>
      </w:tr>
      <w:tr>
        <w:trPr>
          <w:tblHeader w:val="false"/>
        </w:trPr>
        <w:tc>
          <w:tcPr>
            <w:tcW w:type="dxa" w:w="2108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Referrer-Policy</w:t>
            </w:r>
          </w:p>
        </w:tc>
        <w:tc>
          <w:tcPr>
            <w:tcW w:type="dxa" w:w="3372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strict-origin-when-cross-origin</w:t>
            </w:r>
          </w:p>
        </w:tc>
        <w:tc>
          <w:tcPr>
            <w:tcW w:type="dxa" w:w="3880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Do not leak our URLs to third parties</w:t>
            </w:r>
          </w:p>
        </w:tc>
      </w:tr>
      <w:tr>
        <w:trPr>
          <w:tblHeader w:val="false"/>
        </w:trPr>
        <w:tc>
          <w:tcPr>
            <w:tcW w:type="dxa" w:w="210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X-Frame-Options</w:t>
            </w:r>
          </w:p>
        </w:tc>
        <w:tc>
          <w:tcPr>
            <w:tcW w:type="dxa" w:w="3372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DENY</w:t>
            </w:r>
          </w:p>
        </w:tc>
        <w:tc>
          <w:tcPr>
            <w:tcW w:type="dxa" w:w="388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No clickjacking; nothing here should be framed</w:t>
            </w:r>
          </w:p>
        </w:tc>
      </w:tr>
      <w:tr>
        <w:trPr>
          <w:tblHeader w:val="false"/>
        </w:trPr>
        <w:tc>
          <w:tcPr>
            <w:tcW w:type="dxa" w:w="2108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Permissions-Policy</w:t>
            </w:r>
          </w:p>
        </w:tc>
        <w:tc>
          <w:tcPr>
            <w:tcW w:type="dxa" w:w="3372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camera=(), microphone=(), geolocation=()</w:t>
            </w:r>
          </w:p>
        </w:tc>
        <w:tc>
          <w:tcPr>
            <w:tcW w:type="dxa" w:w="3880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We need none of these</w:t>
            </w:r>
          </w:p>
        </w:tc>
      </w:tr>
    </w:tbl>
    <w:p>
      <w:pPr>
        <w:spacing w:after="160"/>
      </w:pP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CSP starting point</w:t>
      </w:r>
      <w:r>
        <w:rPr>
          <w:color w:val="13272F"/>
          <w:sz w:val="20"/>
          <w:szCs w:val="20"/>
        </w:rPr>
        <w:t xml:space="preserve">, to be tightened once the frontend exists:</w:t>
      </w:r>
    </w:p>
    <w:p>
      <w:pPr>
        <w:pBdr>
          <w:left w:val="single" w:color="1F7A8C" w:sz="12" w:space="8"/>
        </w:pBdr>
        <w:shd w:fill="F4F7F8" w:val="clear"/>
        <w:spacing w:after="0" w:before="10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default-src 'self';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script-src  'self';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style-src   'self' 'unsafe-inline';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img-src     'self' data:;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connect-src 'self' https://*.supabase.co;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frame-ancestors 'none';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base-uri    'self';</w:t>
      </w:r>
    </w:p>
    <w:p>
      <w:pPr>
        <w:pBdr>
          <w:left w:val="single" w:color="1F7A8C" w:sz="12" w:space="8"/>
        </w:pBdr>
        <w:shd w:fill="F4F7F8" w:val="clear"/>
        <w:spacing w:after="14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form-action 'self';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Deploy CSP in `Content-Security-Policy-Report-Only` mode first.</w:t>
      </w:r>
      <w:r>
        <w:rPr>
          <w:color w:val="13272F"/>
          <w:sz w:val="20"/>
          <w:szCs w:val="20"/>
        </w:rPr>
        <w:t xml:space="preserve"> A CSP that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breaks the app gets switched off in a hurry and never comes back.</w:t>
      </w:r>
    </w:p>
    <w:p>
      <w:pPr>
        <w:spacing w:after="120" w:before="60" w:line="300"/>
      </w:pPr>
      <w:r>
        <w:rPr>
          <w:rFonts w:ascii="Consolas" w:cs="Consolas" w:eastAsia="Consolas" w:hAnsi="Consolas"/>
          <w:color w:val="B3651F"/>
          <w:sz w:val="18"/>
          <w:szCs w:val="18"/>
        </w:rPr>
        <w:t xml:space="preserve">'unsafe-inline'</w:t>
      </w:r>
      <w:r>
        <w:rPr>
          <w:color w:val="13272F"/>
          <w:sz w:val="20"/>
          <w:szCs w:val="20"/>
        </w:rPr>
        <w:t xml:space="preserve"> for styles is a concession to CSS-in-JS. Removing it needs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nonces, which is a Next.js configuration task rather than a header change.</w:t>
      </w:r>
    </w:p>
    <w:p>
      <w:pPr>
        <w:pStyle w:val="Heading3"/>
        <w:spacing w:after="100" w:before="220"/>
      </w:pPr>
      <w:r>
        <w:rPr>
          <w:rFonts w:ascii="Georgia" w:cs="Georgia" w:eastAsia="Georgia" w:hAnsi="Georgia"/>
          <w:b/>
          <w:bCs/>
          <w:color w:val="13272F"/>
          <w:sz w:val="22"/>
          <w:szCs w:val="22"/>
        </w:rPr>
        <w:t xml:space="preserve">5.4 · Input handling and the three injection classes</w:t>
      </w:r>
    </w:p>
    <w:tbl>
      <w:tblPr>
        <w:tblW w:type="dxa" w:w="9360"/>
        <w:tblBorders>
          <w:top w:val="single" w:color="D6E2E6" w:sz="2"/>
          <w:left w:val="single" w:color="D6E2E6" w:sz="2"/>
          <w:bottom w:val="single" w:color="D6E2E6" w:sz="2"/>
          <w:right w:val="single" w:color="D6E2E6" w:sz="2"/>
          <w:insideH w:val="single" w:color="D6E2E6" w:sz="1"/>
          <w:insideV w:val="single" w:color="D6E2E6" w:sz="1"/>
        </w:tblBorders>
      </w:tblPr>
      <w:tblGrid>
        <w:gridCol w:w="941"/>
        <w:gridCol w:w="1770"/>
        <w:gridCol w:w="6649"/>
      </w:tblGrid>
      <w:tr>
        <w:trPr>
          <w:tblHeader/>
        </w:trPr>
        <w:tc>
          <w:tcPr>
            <w:tcW w:type="dxa" w:w="941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Class</w:t>
            </w:r>
          </w:p>
        </w:tc>
        <w:tc>
          <w:tcPr>
            <w:tcW w:type="dxa" w:w="1770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Where</w:t>
            </w:r>
          </w:p>
        </w:tc>
        <w:tc>
          <w:tcPr>
            <w:tcW w:type="dxa" w:w="6649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Defence</w:t>
            </w:r>
          </w:p>
        </w:tc>
      </w:tr>
      <w:tr>
        <w:trPr>
          <w:tblHeader w:val="false"/>
        </w:trPr>
        <w:tc>
          <w:tcPr>
            <w:tcW w:type="dxa" w:w="94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SQL injection</w:t>
            </w:r>
          </w:p>
        </w:tc>
        <w:tc>
          <w:tcPr>
            <w:tcW w:type="dxa" w:w="177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Any query</w:t>
            </w:r>
          </w:p>
        </w:tc>
        <w:tc>
          <w:tcPr>
            <w:tcW w:type="dxa" w:w="664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ORM with parameterised queries — never string-formatted SQL. </w:t>
            </w:r>
            <w:r>
              <w:rPr>
                <w:b/>
                <w:bCs/>
                <w:color w:val="13272F"/>
                <w:sz w:val="17"/>
                <w:szCs w:val="17"/>
              </w:rPr>
              <w:t xml:space="preserve">Plus RLS</w:t>
            </w:r>
            <w:r>
              <w:rPr>
                <w:color w:val="13272F"/>
                <w:sz w:val="17"/>
                <w:szCs w:val="17"/>
              </w:rPr>
              <w:t xml:space="preserve">, so even a successful injection cannot cross a user boundary</w:t>
            </w:r>
          </w:p>
        </w:tc>
      </w:tr>
      <w:tr>
        <w:trPr>
          <w:tblHeader w:val="false"/>
        </w:trPr>
        <w:tc>
          <w:tcPr>
            <w:tcW w:type="dxa" w:w="941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XSS</w:t>
            </w:r>
          </w:p>
        </w:tc>
        <w:tc>
          <w:tcPr>
            <w:tcW w:type="dxa" w:w="1770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Learner questions and diagnoses rendered back</w:t>
            </w:r>
          </w:p>
        </w:tc>
        <w:tc>
          <w:tcPr>
            <w:tcW w:type="dxa" w:w="6649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React escapes by default. </w:t>
            </w:r>
            <w:r>
              <w:rPr>
                <w:b/>
                <w:bCs/>
                <w:color w:val="13272F"/>
                <w:sz w:val="17"/>
                <w:szCs w:val="17"/>
              </w:rPr>
              <w:t xml:space="preserve">`dangerouslySetInnerHTML` is banned</w:t>
            </w:r>
            <w:r>
              <w:rPr>
                <w:color w:val="13272F"/>
                <w:sz w:val="17"/>
                <w:szCs w:val="17"/>
              </w:rPr>
              <w:t xml:space="preserve"> — add a lint rule. Plus CSP (§5.3) and httpOnly cookies (L2)</w:t>
            </w:r>
          </w:p>
        </w:tc>
      </w:tr>
      <w:tr>
        <w:trPr>
          <w:tblHeader w:val="false"/>
        </w:trPr>
        <w:tc>
          <w:tcPr>
            <w:tcW w:type="dxa" w:w="94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Prompt injection</w:t>
            </w:r>
          </w:p>
        </w:tc>
        <w:tc>
          <w:tcPr>
            <w:tcW w:type="dxa" w:w="177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Every learner question reaches the model</w:t>
            </w:r>
          </w:p>
        </w:tc>
        <w:tc>
          <w:tcPr>
            <w:tcW w:type="dxa" w:w="664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The model has no authority (L6), so injection cannot alter a score. It </w:t>
            </w:r>
            <w:r>
              <w:rPr>
                <w:b/>
                <w:bCs/>
                <w:color w:val="13272F"/>
                <w:sz w:val="17"/>
                <w:szCs w:val="17"/>
              </w:rPr>
              <w:t xml:space="preserve">can</w:t>
            </w:r>
            <w:r>
              <w:rPr>
                <w:color w:val="13272F"/>
                <w:sz w:val="17"/>
                <w:szCs w:val="17"/>
              </w:rPr>
              <w:t xml:space="preserve"> break the patient persona — that is T2/T-040, and it is a validity problem, not a security one</w:t>
            </w:r>
          </w:p>
        </w:tc>
      </w:tr>
    </w:tbl>
    <w:p>
      <w:pPr>
        <w:spacing w:after="160"/>
      </w:pP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Additional rules</w:t>
      </w:r>
    </w:p>
    <w:p>
      <w:pPr>
        <w:pStyle w:val="ListParagraph"/>
        <w:numPr>
          <w:ilvl w:val="0"/>
          <w:numId w:val="1"/>
        </w:numPr>
        <w:spacing w:after="40" w:before="40" w:line="280"/>
      </w:pPr>
      <w:r>
        <w:rPr>
          <w:color w:val="13272F"/>
          <w:sz w:val="20"/>
          <w:szCs w:val="20"/>
        </w:rPr>
        <w:t xml:space="preserve">Validate at the boundary with a schema — pydantic in Flask, zod in Next.js.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  Reject unknown fields rather than ignoring them.</w:t>
      </w:r>
    </w:p>
    <w:p>
      <w:pPr>
        <w:pStyle w:val="ListParagraph"/>
        <w:numPr>
          <w:ilvl w:val="0"/>
          <w:numId w:val="1"/>
        </w:numPr>
        <w:spacing w:after="40" w:before="40" w:line="280"/>
      </w:pPr>
      <w:r>
        <w:rPr>
          <w:color w:val="13272F"/>
          <w:sz w:val="20"/>
          <w:szCs w:val="20"/>
        </w:rPr>
        <w:t xml:space="preserve">Cap free-text length at the API, not only in the UI. A 2 MB "question" is a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  cost attack on the LLM bill.</w:t>
      </w:r>
    </w:p>
    <w:p>
      <w:pPr>
        <w:pStyle w:val="ListParagraph"/>
        <w:numPr>
          <w:ilvl w:val="0"/>
          <w:numId w:val="1"/>
        </w:numPr>
        <w:spacing w:after="40" w:before="40" w:line="280"/>
      </w:pPr>
      <w:r>
        <w:rPr>
          <w:color w:val="13272F"/>
          <w:sz w:val="20"/>
          <w:szCs w:val="20"/>
        </w:rPr>
        <w:t xml:space="preserve">Never interpolate user text into a system prompt. Learner text belongs in a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 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user</w:t>
      </w:r>
      <w:r>
        <w:rPr>
          <w:color w:val="13272F"/>
          <w:sz w:val="20"/>
          <w:szCs w:val="20"/>
        </w:rPr>
        <w:t xml:space="preserve"> message, always.</w:t>
      </w:r>
    </w:p>
    <w:p>
      <w:pPr>
        <w:pStyle w:val="Heading3"/>
        <w:spacing w:after="100" w:before="220"/>
      </w:pPr>
      <w:r>
        <w:rPr>
          <w:rFonts w:ascii="Georgia" w:cs="Georgia" w:eastAsia="Georgia" w:hAnsi="Georgia"/>
          <w:b/>
          <w:bCs/>
          <w:color w:val="13272F"/>
          <w:sz w:val="22"/>
          <w:szCs w:val="22"/>
        </w:rPr>
        <w:t xml:space="preserve">5.5 · Administrative access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The admin console can read every user's session and publish clinical content. It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is the highest-value target in the product and has the fewest users.</w:t>
      </w:r>
    </w:p>
    <w:tbl>
      <w:tblPr>
        <w:tblW w:type="dxa" w:w="9360"/>
        <w:tblBorders>
          <w:top w:val="single" w:color="D6E2E6" w:sz="2"/>
          <w:left w:val="single" w:color="D6E2E6" w:sz="2"/>
          <w:bottom w:val="single" w:color="D6E2E6" w:sz="2"/>
          <w:right w:val="single" w:color="D6E2E6" w:sz="2"/>
          <w:insideH w:val="single" w:color="D6E2E6" w:sz="1"/>
          <w:insideV w:val="single" w:color="D6E2E6" w:sz="1"/>
        </w:tblBorders>
      </w:tblPr>
      <w:tblGrid>
        <w:gridCol w:w="5514"/>
        <w:gridCol w:w="3846"/>
      </w:tblGrid>
      <w:tr>
        <w:trPr>
          <w:tblHeader/>
        </w:trPr>
        <w:tc>
          <w:tcPr>
            <w:tcW w:type="dxa" w:w="5514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Rule</w:t>
            </w:r>
          </w:p>
        </w:tc>
        <w:tc>
          <w:tcPr>
            <w:tcW w:type="dxa" w:w="3846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rPr>
          <w:tblHeader w:val="false"/>
        </w:trPr>
        <w:tc>
          <w:tcPr>
            <w:tcW w:type="dxa" w:w="551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MFA required on every admin account</w:t>
            </w:r>
          </w:p>
        </w:tc>
        <w:tc>
          <w:tcPr>
            <w:tcW w:type="dxa" w:w="384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❌ </w:t>
            </w:r>
            <w:r>
              <w:rPr>
                <w:b/>
                <w:bCs/>
                <w:color w:val="13272F"/>
                <w:sz w:val="17"/>
                <w:szCs w:val="17"/>
              </w:rPr>
              <w:t xml:space="preserve">not specified — do this before the first non-founder admin</w:t>
            </w:r>
          </w:p>
        </w:tc>
      </w:tr>
      <w:tr>
        <w:trPr>
          <w:tblHeader w:val="false"/>
        </w:trPr>
        <w:tc>
          <w:tcPr>
            <w:tcW w:type="dxa" w:w="5514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role = 'admin'</w:t>
            </w:r>
            <w:r>
              <w:rPr>
                <w:color w:val="13272F"/>
                <w:sz w:val="17"/>
                <w:szCs w:val="17"/>
              </w:rPr>
              <w:t xml:space="preserve"> checked server-side per request, never trusted from a token claim alone</w:t>
            </w:r>
          </w:p>
        </w:tc>
        <w:tc>
          <w:tcPr>
            <w:tcW w:type="dxa" w:w="3846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API_CONTRACT</w:t>
            </w:r>
            <w:r>
              <w:rPr>
                <w:color w:val="13272F"/>
                <w:sz w:val="17"/>
                <w:szCs w:val="17"/>
              </w:rPr>
              <w:t xml:space="preserve"> §2.2 ✅</w:t>
            </w:r>
          </w:p>
        </w:tc>
      </w:tr>
      <w:tr>
        <w:trPr>
          <w:tblHeader w:val="false"/>
        </w:trPr>
        <w:tc>
          <w:tcPr>
            <w:tcW w:type="dxa" w:w="551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Admin routes return 404 to non-admins</w:t>
            </w:r>
          </w:p>
        </w:tc>
        <w:tc>
          <w:tcPr>
            <w:tcW w:type="dxa" w:w="384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API_CONTRACT</w:t>
            </w:r>
            <w:r>
              <w:rPr>
                <w:color w:val="13272F"/>
                <w:sz w:val="17"/>
                <w:szCs w:val="17"/>
              </w:rPr>
              <w:t xml:space="preserve"> §2.7 ✅</w:t>
            </w:r>
          </w:p>
        </w:tc>
      </w:tr>
      <w:tr>
        <w:trPr>
          <w:tblHeader w:val="false"/>
        </w:trPr>
        <w:tc>
          <w:tcPr>
            <w:tcW w:type="dxa" w:w="5514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Every admin action written to append-only </w:t>
            </w: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audit_log</w:t>
            </w:r>
          </w:p>
        </w:tc>
        <w:tc>
          <w:tcPr>
            <w:tcW w:type="dxa" w:w="3846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DATA_MODEL</w:t>
            </w:r>
            <w:r>
              <w:rPr>
                <w:color w:val="13272F"/>
                <w:sz w:val="17"/>
                <w:szCs w:val="17"/>
              </w:rPr>
              <w:t xml:space="preserve"> §7.4 ✅</w:t>
            </w:r>
          </w:p>
        </w:tc>
      </w:tr>
      <w:tr>
        <w:trPr>
          <w:tblHeader w:val="false"/>
        </w:trPr>
        <w:tc>
          <w:tcPr>
            <w:tcW w:type="dxa" w:w="551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Support access to a user's session requires a written </w:t>
            </w: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reason</w:t>
            </w:r>
          </w:p>
        </w:tc>
        <w:tc>
          <w:tcPr>
            <w:tcW w:type="dxa" w:w="384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DATA_MODEL</w:t>
            </w:r>
            <w:r>
              <w:rPr>
                <w:color w:val="13272F"/>
                <w:sz w:val="17"/>
                <w:szCs w:val="17"/>
              </w:rPr>
              <w:t xml:space="preserve"> §7.4 ✅</w:t>
            </w:r>
          </w:p>
        </w:tc>
      </w:tr>
      <w:tr>
        <w:trPr>
          <w:tblHeader w:val="false"/>
        </w:trPr>
        <w:tc>
          <w:tcPr>
            <w:tcW w:type="dxa" w:w="5514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Admin accounts are named individuals — </w:t>
            </w:r>
            <w:r>
              <w:rPr>
                <w:b/>
                <w:bCs/>
                <w:color w:val="13272F"/>
                <w:sz w:val="17"/>
                <w:szCs w:val="17"/>
              </w:rPr>
              <w:t xml:space="preserve">no shared admin login</w:t>
            </w:r>
          </w:p>
        </w:tc>
        <w:tc>
          <w:tcPr>
            <w:tcW w:type="dxa" w:w="3846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❌ state it here</w:t>
            </w:r>
          </w:p>
        </w:tc>
      </w:tr>
      <w:tr>
        <w:trPr>
          <w:tblHeader w:val="false"/>
        </w:trPr>
        <w:tc>
          <w:tcPr>
            <w:tcW w:type="dxa" w:w="551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Admin access reviewed when anyone leaves the project</w:t>
            </w:r>
          </w:p>
        </w:tc>
        <w:tc>
          <w:tcPr>
            <w:tcW w:type="dxa" w:w="384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❌ state it here</w:t>
            </w:r>
          </w:p>
        </w:tc>
      </w:tr>
    </w:tbl>
    <w:p>
      <w:pPr>
        <w:spacing w:after="160"/>
      </w:pP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A shared admin account destroys the audit log's value: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actor_id</w:t>
      </w:r>
      <w:r>
        <w:rPr>
          <w:color w:val="13272F"/>
          <w:sz w:val="20"/>
          <w:szCs w:val="20"/>
        </w:rPr>
        <w:t xml:space="preserve"> stops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identifying a person, and every entry becomes unattributable.</w:t>
      </w:r>
    </w:p>
    <w:p>
      <w:pPr>
        <w:pStyle w:val="Heading3"/>
        <w:spacing w:after="100" w:before="220"/>
      </w:pPr>
      <w:r>
        <w:rPr>
          <w:rFonts w:ascii="Georgia" w:cs="Georgia" w:eastAsia="Georgia" w:hAnsi="Georgia"/>
          <w:b/>
          <w:bCs/>
          <w:color w:val="13272F"/>
          <w:sz w:val="22"/>
          <w:szCs w:val="22"/>
        </w:rPr>
        <w:t xml:space="preserve">5.6 · Payments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We never see a card number. Stripe-hosted checkout, Stripe-hosted billing portal.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This is not laziness — PCI compliance is a serious undertaking and the correct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amount of it to do ourselves is none.</w:t>
      </w:r>
    </w:p>
    <w:p>
      <w:pPr>
        <w:pStyle w:val="ListParagraph"/>
        <w:numPr>
          <w:ilvl w:val="0"/>
          <w:numId w:val="1"/>
        </w:numPr>
        <w:spacing w:after="40" w:before="40" w:line="280"/>
      </w:pPr>
      <w:r>
        <w:rPr>
          <w:color w:val="13272F"/>
          <w:sz w:val="20"/>
          <w:szCs w:val="20"/>
        </w:rPr>
        <w:t xml:space="preserve">Webhook signature verified on every call (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API_CONTRACT</w:t>
      </w:r>
      <w:r>
        <w:rPr>
          <w:color w:val="13272F"/>
          <w:sz w:val="20"/>
          <w:szCs w:val="20"/>
        </w:rPr>
        <w:t xml:space="preserve">). **An unverified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  webhook endpoint is a "make me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pro</w:t>
      </w:r>
      <w:r>
        <w:rPr>
          <w:color w:val="13272F"/>
          <w:sz w:val="20"/>
          <w:szCs w:val="20"/>
        </w:rPr>
        <w:t xml:space="preserve">" button.**</w:t>
      </w:r>
    </w:p>
    <w:p>
      <w:pPr>
        <w:pStyle w:val="ListParagraph"/>
        <w:numPr>
          <w:ilvl w:val="0"/>
          <w:numId w:val="1"/>
        </w:numPr>
        <w:spacing w:after="40" w:before="40" w:line="280"/>
      </w:pPr>
      <w:r>
        <w:rPr>
          <w:color w:val="13272F"/>
          <w:sz w:val="20"/>
          <w:szCs w:val="20"/>
        </w:rPr>
        <w:t xml:space="preserve">Webhooks are idempotent — Stripe retries, and a replayed event must not grant a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  second subscription period.</w:t>
      </w:r>
    </w:p>
    <w:p>
      <w:pPr>
        <w:pStyle w:val="ListParagraph"/>
        <w:numPr>
          <w:ilvl w:val="0"/>
          <w:numId w:val="1"/>
        </w:numPr>
        <w:spacing w:after="40" w:before="40" w:line="280"/>
      </w:pPr>
      <w:r>
        <w:rPr>
          <w:color w:val="13272F"/>
          <w:sz w:val="20"/>
          <w:szCs w:val="20"/>
        </w:rPr>
        <w:t xml:space="preserve">Entitlement is derived from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subscriptions</w:t>
      </w:r>
      <w:r>
        <w:rPr>
          <w:color w:val="13272F"/>
          <w:sz w:val="20"/>
          <w:szCs w:val="20"/>
        </w:rPr>
        <w:t xml:space="preserve"> in our database, never from a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  client claim.</w:t>
      </w:r>
    </w:p>
    <w:p>
      <w:pPr>
        <w:pBdr>
          <w:bottom w:val="single" w:color="D6E2E6" w:sz="6" w:space="2"/>
        </w:pBdr>
        <w:spacing w:after="120" w:before="120"/>
      </w:pPr>
      <w:r>
        <w:t xml:space="preserve"/>
      </w: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6 · Incident response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Not specified anywhere. Two people, no on-call rota — so the plan must be simple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enough to follow while panicking at 2 a.m.</w:t>
      </w:r>
    </w:p>
    <w:p>
      <w:pPr>
        <w:pStyle w:val="Heading3"/>
        <w:spacing w:after="100" w:before="220"/>
      </w:pPr>
      <w:r>
        <w:rPr>
          <w:rFonts w:ascii="Georgia" w:cs="Georgia" w:eastAsia="Georgia" w:hAnsi="Georgia"/>
          <w:b/>
          <w:bCs/>
          <w:color w:val="13272F"/>
          <w:sz w:val="22"/>
          <w:szCs w:val="22"/>
        </w:rPr>
        <w:t xml:space="preserve">Severity</w:t>
      </w:r>
    </w:p>
    <w:tbl>
      <w:tblPr>
        <w:tblW w:type="dxa" w:w="9360"/>
        <w:tblBorders>
          <w:top w:val="single" w:color="D6E2E6" w:sz="2"/>
          <w:left w:val="single" w:color="D6E2E6" w:sz="2"/>
          <w:bottom w:val="single" w:color="D6E2E6" w:sz="2"/>
          <w:right w:val="single" w:color="D6E2E6" w:sz="2"/>
          <w:insideH w:val="single" w:color="D6E2E6" w:sz="1"/>
          <w:insideV w:val="single" w:color="D6E2E6" w:sz="1"/>
        </w:tblBorders>
      </w:tblPr>
      <w:tblGrid>
        <w:gridCol w:w="933"/>
        <w:gridCol w:w="5186"/>
        <w:gridCol w:w="3241"/>
      </w:tblGrid>
      <w:tr>
        <w:trPr>
          <w:tblHeader/>
        </w:trPr>
        <w:tc>
          <w:tcPr>
            <w:tcW w:type="dxa" w:w="933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Level</w:t>
            </w:r>
          </w:p>
        </w:tc>
        <w:tc>
          <w:tcPr>
            <w:tcW w:type="dxa" w:w="5186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Meaning</w:t>
            </w:r>
          </w:p>
        </w:tc>
        <w:tc>
          <w:tcPr>
            <w:tcW w:type="dxa" w:w="3241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Response</w:t>
            </w:r>
          </w:p>
        </w:tc>
      </w:tr>
      <w:tr>
        <w:trPr>
          <w:tblHeader w:val="false"/>
        </w:trPr>
        <w:tc>
          <w:tcPr>
            <w:tcW w:type="dxa" w:w="93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SEV-1</w:t>
            </w:r>
          </w:p>
        </w:tc>
        <w:tc>
          <w:tcPr>
            <w:tcW w:type="dxa" w:w="518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User data exposed, or credentials compromised</w:t>
            </w:r>
          </w:p>
        </w:tc>
        <w:tc>
          <w:tcPr>
            <w:tcW w:type="dxa" w:w="324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Immediately, whatever the hour</w:t>
            </w:r>
          </w:p>
        </w:tc>
      </w:tr>
      <w:tr>
        <w:trPr>
          <w:tblHeader w:val="false"/>
        </w:trPr>
        <w:tc>
          <w:tcPr>
            <w:tcW w:type="dxa" w:w="933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SEV-2</w:t>
            </w:r>
          </w:p>
        </w:tc>
        <w:tc>
          <w:tcPr>
            <w:tcW w:type="dxa" w:w="5186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Vulnerability found, no evidence of exploitation</w:t>
            </w:r>
          </w:p>
        </w:tc>
        <w:tc>
          <w:tcPr>
            <w:tcW w:type="dxa" w:w="3241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Same working day</w:t>
            </w:r>
          </w:p>
        </w:tc>
      </w:tr>
      <w:tr>
        <w:trPr>
          <w:tblHeader w:val="false"/>
        </w:trPr>
        <w:tc>
          <w:tcPr>
            <w:tcW w:type="dxa" w:w="93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SEV-3</w:t>
            </w:r>
          </w:p>
        </w:tc>
        <w:tc>
          <w:tcPr>
            <w:tcW w:type="dxa" w:w="518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Low-severity finding, dependency advisory</w:t>
            </w:r>
          </w:p>
        </w:tc>
        <w:tc>
          <w:tcPr>
            <w:tcW w:type="dxa" w:w="324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Next working day</w:t>
            </w:r>
          </w:p>
        </w:tc>
      </w:tr>
    </w:tbl>
    <w:p>
      <w:pPr>
        <w:spacing w:after="160"/>
      </w:pPr>
    </w:p>
    <w:p>
      <w:pPr>
        <w:pStyle w:val="Heading3"/>
        <w:spacing w:after="100" w:before="220"/>
      </w:pPr>
      <w:r>
        <w:rPr>
          <w:rFonts w:ascii="Georgia" w:cs="Georgia" w:eastAsia="Georgia" w:hAnsi="Georgia"/>
          <w:b/>
          <w:bCs/>
          <w:color w:val="13272F"/>
          <w:sz w:val="22"/>
          <w:szCs w:val="22"/>
        </w:rPr>
        <w:t xml:space="preserve">The first hour of a SEV-1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b/>
          <w:bCs/>
          <w:color w:val="13272F"/>
          <w:sz w:val="20"/>
          <w:szCs w:val="20"/>
        </w:rPr>
        <w:t xml:space="preserve">Contain before diagnosing.</w:t>
      </w:r>
      <w:r>
        <w:rPr>
          <w:color w:val="13272F"/>
          <w:sz w:val="20"/>
          <w:szCs w:val="20"/>
        </w:rPr>
        <w:t xml:space="preserve"> Rotate the credential, disable the endpoint,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   revoke the sessions. Understanding can wait; the bleeding cannot.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b/>
          <w:bCs/>
          <w:color w:val="13272F"/>
          <w:sz w:val="20"/>
          <w:szCs w:val="20"/>
        </w:rPr>
        <w:t xml:space="preserve">Preserve evidence.</w:t>
      </w:r>
      <w:r>
        <w:rPr>
          <w:color w:val="13272F"/>
          <w:sz w:val="20"/>
          <w:szCs w:val="20"/>
        </w:rPr>
        <w:t xml:space="preserve"> Snapshot logs </w:t>
      </w:r>
      <w:r>
        <w:rPr>
          <w:i/>
          <w:iCs/>
          <w:color w:val="13272F"/>
          <w:sz w:val="20"/>
          <w:szCs w:val="20"/>
        </w:rPr>
        <w:t xml:space="preserve">before</w:t>
      </w:r>
      <w:r>
        <w:rPr>
          <w:color w:val="13272F"/>
          <w:sz w:val="20"/>
          <w:szCs w:val="20"/>
        </w:rPr>
        <w:t xml:space="preserve"> redeploying. A redeploy commonly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   destroys the only record of what happened.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b/>
          <w:bCs/>
          <w:color w:val="13272F"/>
          <w:sz w:val="20"/>
          <w:szCs w:val="20"/>
        </w:rPr>
        <w:t xml:space="preserve">Write it down as you go</w:t>
      </w:r>
      <w:r>
        <w:rPr>
          <w:color w:val="13272F"/>
          <w:sz w:val="20"/>
          <w:szCs w:val="20"/>
        </w:rPr>
        <w:t xml:space="preserve">, in a shared file, with timestamps. Memory is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   unreliable under stress and you will need this for the disclosure.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b/>
          <w:bCs/>
          <w:color w:val="13272F"/>
          <w:sz w:val="20"/>
          <w:szCs w:val="20"/>
        </w:rPr>
        <w:t xml:space="preserve">Do not notify anyone yet.</w:t>
      </w:r>
      <w:r>
        <w:rPr>
          <w:color w:val="13272F"/>
          <w:sz w:val="20"/>
          <w:szCs w:val="20"/>
        </w:rPr>
        <w:t xml:space="preserve"> An early, wrong statement is worse than a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   correct one an hour later.</w:t>
      </w:r>
    </w:p>
    <w:p>
      <w:pPr>
        <w:pStyle w:val="Heading3"/>
        <w:spacing w:after="100" w:before="220"/>
      </w:pPr>
      <w:r>
        <w:rPr>
          <w:rFonts w:ascii="Georgia" w:cs="Georgia" w:eastAsia="Georgia" w:hAnsi="Georgia"/>
          <w:b/>
          <w:bCs/>
          <w:color w:val="13272F"/>
          <w:sz w:val="22"/>
          <w:szCs w:val="22"/>
        </w:rPr>
        <w:t xml:space="preserve">Then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b/>
          <w:bCs/>
          <w:color w:val="13272F"/>
          <w:sz w:val="20"/>
          <w:szCs w:val="20"/>
        </w:rPr>
        <w:t xml:space="preserve">Scope it.</w:t>
      </w:r>
      <w:r>
        <w:rPr>
          <w:color w:val="13272F"/>
          <w:sz w:val="20"/>
          <w:szCs w:val="20"/>
        </w:rPr>
        <w:t xml:space="preserve"> Which users, which data, over what window. Say *"we do not yet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   know"* when you do not know.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b/>
          <w:bCs/>
          <w:color w:val="13272F"/>
          <w:sz w:val="20"/>
          <w:szCs w:val="20"/>
        </w:rPr>
        <w:t xml:space="preserve">Fix, and write a regression test.</w:t>
      </w:r>
      <w:r>
        <w:rPr>
          <w:color w:val="13272F"/>
          <w:sz w:val="20"/>
          <w:szCs w:val="20"/>
        </w:rPr>
        <w:t xml:space="preserve"> An incident without a test that would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   have caught it will recur.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b/>
          <w:bCs/>
          <w:color w:val="13272F"/>
          <w:sz w:val="20"/>
          <w:szCs w:val="20"/>
        </w:rPr>
        <w:t xml:space="preserve">Notify.</w:t>
      </w:r>
      <w:r>
        <w:rPr>
          <w:color w:val="13272F"/>
          <w:sz w:val="20"/>
          <w:szCs w:val="20"/>
        </w:rPr>
        <w:t xml:space="preserve"> Affected users plainly: what happened, what data, what you have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   done, what they should do. No euphemism — "a security incident" is honest,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   "an unexpected technical issue" is not.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b/>
          <w:bCs/>
          <w:color w:val="13272F"/>
          <w:sz w:val="20"/>
          <w:szCs w:val="20"/>
        </w:rPr>
        <w:t xml:space="preserve">Write it up.</w:t>
      </w:r>
      <w:r>
        <w:rPr>
          <w:color w:val="13272F"/>
          <w:sz w:val="20"/>
          <w:szCs w:val="20"/>
        </w:rPr>
        <w:t xml:space="preserve"> What happened, why, what changed. No blame — a culture that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   punishes the person who caused an incident produces incidents that get hidden.</w:t>
      </w:r>
    </w:p>
    <w:p>
      <w:pPr>
        <w:pStyle w:val="Heading3"/>
        <w:spacing w:after="100" w:before="220"/>
      </w:pPr>
      <w:r>
        <w:rPr>
          <w:rFonts w:ascii="Georgia" w:cs="Georgia" w:eastAsia="Georgia" w:hAnsi="Georgia"/>
          <w:b/>
          <w:bCs/>
          <w:color w:val="13272F"/>
          <w:sz w:val="22"/>
          <w:szCs w:val="22"/>
        </w:rPr>
        <w:t xml:space="preserve">Legal notification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GDPR: 72 hours</w:t>
      </w:r>
      <w:r>
        <w:rPr>
          <w:color w:val="13272F"/>
          <w:sz w:val="20"/>
          <w:szCs w:val="20"/>
        </w:rPr>
        <w:t xml:space="preserve"> to notify the supervisory authority from becoming aware of a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personal-data breach, where there is risk to individuals. Given asset A1, assume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there is risk.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India DPDP Act:</w:t>
      </w:r>
      <w:r>
        <w:rPr>
          <w:color w:val="13272F"/>
          <w:sz w:val="20"/>
          <w:szCs w:val="20"/>
        </w:rPr>
        <w:t xml:space="preserve"> notification to the Data Protection Board and to affected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users is required; the clock is short. **Confirm the current requirement with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someone qualified before launch** — this document is not legal advice.</w:t>
      </w:r>
    </w:p>
    <w:p>
      <w:pPr>
        <w:pStyle w:val="Heading3"/>
        <w:spacing w:after="100" w:before="220"/>
      </w:pPr>
      <w:r>
        <w:rPr>
          <w:rFonts w:ascii="Georgia" w:cs="Georgia" w:eastAsia="Georgia" w:hAnsi="Georgia"/>
          <w:b/>
          <w:bCs/>
          <w:color w:val="13272F"/>
          <w:sz w:val="22"/>
          <w:szCs w:val="22"/>
        </w:rPr>
        <w:t xml:space="preserve">Contacts — ⟨FILL IN BEFORE LAUNCH⟩</w:t>
      </w:r>
    </w:p>
    <w:tbl>
      <w:tblPr>
        <w:tblW w:type="dxa" w:w="9360"/>
        <w:tblBorders>
          <w:top w:val="single" w:color="D6E2E6" w:sz="2"/>
          <w:left w:val="single" w:color="D6E2E6" w:sz="2"/>
          <w:bottom w:val="single" w:color="D6E2E6" w:sz="2"/>
          <w:right w:val="single" w:color="D6E2E6" w:sz="2"/>
          <w:insideH w:val="single" w:color="D6E2E6" w:sz="1"/>
          <w:insideV w:val="single" w:color="D6E2E6" w:sz="1"/>
        </w:tblBorders>
      </w:tblPr>
      <w:tblGrid>
        <w:gridCol w:w="1640"/>
        <w:gridCol w:w="7720"/>
      </w:tblGrid>
      <w:tr>
        <w:trPr>
          <w:tblHeader/>
        </w:trPr>
        <w:tc>
          <w:tcPr>
            <w:tcW w:type="dxa" w:w="1640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Role</w:t>
            </w:r>
          </w:p>
        </w:tc>
        <w:tc>
          <w:tcPr>
            <w:tcW w:type="dxa" w:w="7720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Who</w:t>
            </w:r>
          </w:p>
        </w:tc>
      </w:tr>
      <w:tr>
        <w:trPr>
          <w:tblHeader w:val="false"/>
        </w:trPr>
        <w:tc>
          <w:tcPr>
            <w:tcW w:type="dxa" w:w="164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Incident lead</w:t>
            </w:r>
          </w:p>
        </w:tc>
        <w:tc>
          <w:tcPr>
            <w:tcW w:type="dxa" w:w="772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⟨name⟩</w:t>
            </w:r>
          </w:p>
        </w:tc>
      </w:tr>
      <w:tr>
        <w:trPr>
          <w:tblHeader w:val="false"/>
        </w:trPr>
        <w:tc>
          <w:tcPr>
            <w:tcW w:type="dxa" w:w="1640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Supabase support</w:t>
            </w:r>
          </w:p>
        </w:tc>
        <w:tc>
          <w:tcPr>
            <w:tcW w:type="dxa" w:w="7720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⟨plan tier, support URL⟩</w:t>
            </w:r>
          </w:p>
        </w:tc>
      </w:tr>
      <w:tr>
        <w:trPr>
          <w:tblHeader w:val="false"/>
        </w:trPr>
        <w:tc>
          <w:tcPr>
            <w:tcW w:type="dxa" w:w="164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Stripe support</w:t>
            </w:r>
          </w:p>
        </w:tc>
        <w:tc>
          <w:tcPr>
            <w:tcW w:type="dxa" w:w="772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⟨dashboard⟩</w:t>
            </w:r>
          </w:p>
        </w:tc>
      </w:tr>
      <w:tr>
        <w:trPr>
          <w:tblHeader w:val="false"/>
        </w:trPr>
        <w:tc>
          <w:tcPr>
            <w:tcW w:type="dxa" w:w="1640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Legal advice</w:t>
            </w:r>
          </w:p>
        </w:tc>
        <w:tc>
          <w:tcPr>
            <w:tcW w:type="dxa" w:w="7720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⟨name — arrange before launch, not during an incident⟩</w:t>
            </w:r>
          </w:p>
        </w:tc>
      </w:tr>
      <w:tr>
        <w:trPr>
          <w:tblHeader w:val="false"/>
        </w:trPr>
        <w:tc>
          <w:tcPr>
            <w:tcW w:type="dxa" w:w="164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security@</w:t>
            </w:r>
            <w:r>
              <w:rPr>
                <w:color w:val="13272F"/>
                <w:sz w:val="17"/>
                <w:szCs w:val="17"/>
              </w:rPr>
              <w:t xml:space="preserve"> address</w:t>
            </w:r>
          </w:p>
        </w:tc>
        <w:tc>
          <w:tcPr>
            <w:tcW w:type="dxa" w:w="772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⟨set up and publish; a researcher who cannot report to you will publish instead⟩</w:t>
            </w:r>
          </w:p>
        </w:tc>
      </w:tr>
    </w:tbl>
    <w:p>
      <w:pPr>
        <w:spacing w:after="160"/>
      </w:pPr>
    </w:p>
    <w:p>
      <w:pPr>
        <w:pBdr>
          <w:bottom w:val="single" w:color="D6E2E6" w:sz="6" w:space="2"/>
        </w:pBdr>
        <w:spacing w:after="120" w:before="120"/>
      </w:pPr>
      <w:r>
        <w:t xml:space="preserve"/>
      </w: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7 · Legal and regulatory position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Not legal advice.</w:t>
      </w:r>
      <w:r>
        <w:rPr>
          <w:color w:val="13272F"/>
          <w:sz w:val="20"/>
          <w:szCs w:val="20"/>
        </w:rPr>
        <w:t xml:space="preserve"> This records our understanding and where advice is needed.</w:t>
      </w:r>
    </w:p>
    <w:tbl>
      <w:tblPr>
        <w:tblW w:type="dxa" w:w="9360"/>
        <w:tblBorders>
          <w:top w:val="single" w:color="D6E2E6" w:sz="2"/>
          <w:left w:val="single" w:color="D6E2E6" w:sz="2"/>
          <w:bottom w:val="single" w:color="D6E2E6" w:sz="2"/>
          <w:right w:val="single" w:color="D6E2E6" w:sz="2"/>
          <w:insideH w:val="single" w:color="D6E2E6" w:sz="1"/>
          <w:insideV w:val="single" w:color="D6E2E6" w:sz="1"/>
        </w:tblBorders>
      </w:tblPr>
      <w:tblGrid>
        <w:gridCol w:w="1429"/>
        <w:gridCol w:w="7931"/>
      </w:tblGrid>
      <w:tr>
        <w:trPr>
          <w:tblHeader/>
        </w:trPr>
        <w:tc>
          <w:tcPr>
            <w:tcW w:type="dxa" w:w="1429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Question</w:t>
            </w:r>
          </w:p>
        </w:tc>
        <w:tc>
          <w:tcPr>
            <w:tcW w:type="dxa" w:w="7931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Position</w:t>
            </w:r>
          </w:p>
        </w:tc>
      </w:tr>
      <w:tr>
        <w:trPr>
          <w:tblHeader w:val="false"/>
        </w:trPr>
        <w:tc>
          <w:tcPr>
            <w:tcW w:type="dxa" w:w="142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Is this a medical device?</w:t>
            </w:r>
          </w:p>
        </w:tc>
        <w:tc>
          <w:tcPr>
            <w:tcW w:type="dxa" w:w="793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No.</w:t>
            </w:r>
            <w:r>
              <w:rPr>
                <w:color w:val="13272F"/>
                <w:sz w:val="17"/>
                <w:szCs w:val="17"/>
              </w:rPr>
              <w:t xml:space="preserve"> It is educational software for training. It does not diagnose or treat patients, and gives no advice about a real patient. This must stay true — a feature that advises on a real case changes the regulatory category entirely</w:t>
            </w:r>
          </w:p>
        </w:tc>
      </w:tr>
      <w:tr>
        <w:trPr>
          <w:tblHeader w:val="false"/>
        </w:trPr>
        <w:tc>
          <w:tcPr>
            <w:tcW w:type="dxa" w:w="1429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Do we hold patient data?</w:t>
            </w:r>
          </w:p>
        </w:tc>
        <w:tc>
          <w:tcPr>
            <w:tcW w:type="dxa" w:w="7931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No.</w:t>
            </w:r>
            <w:r>
              <w:rPr>
                <w:color w:val="13272F"/>
                <w:sz w:val="17"/>
                <w:szCs w:val="17"/>
              </w:rPr>
              <w:t xml:space="preserve"> All cases are fictional. This is a significant simplification and should be protected</w:t>
            </w:r>
          </w:p>
        </w:tc>
      </w:tr>
      <w:tr>
        <w:trPr>
          <w:tblHeader w:val="false"/>
        </w:trPr>
        <w:tc>
          <w:tcPr>
            <w:tcW w:type="dxa" w:w="142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Do we hold health data about users?</w:t>
            </w:r>
          </w:p>
        </w:tc>
        <w:tc>
          <w:tcPr>
            <w:tcW w:type="dxa" w:w="793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No</w:t>
            </w:r>
            <w:r>
              <w:rPr>
                <w:color w:val="13272F"/>
                <w:sz w:val="17"/>
                <w:szCs w:val="17"/>
              </w:rPr>
              <w:t xml:space="preserve"> — but we hold professional competence data (A1), which is sensitive in its own right if not in the regulatory sense</w:t>
            </w:r>
          </w:p>
        </w:tc>
      </w:tr>
      <w:tr>
        <w:trPr>
          <w:tblHeader w:val="false"/>
        </w:trPr>
        <w:tc>
          <w:tcPr>
            <w:tcW w:type="dxa" w:w="1429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GDPR applicable?</w:t>
            </w:r>
          </w:p>
        </w:tc>
        <w:tc>
          <w:tcPr>
            <w:tcW w:type="dxa" w:w="7931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Yes</w:t>
            </w:r>
            <w:r>
              <w:rPr>
                <w:color w:val="13272F"/>
                <w:sz w:val="17"/>
                <w:szCs w:val="17"/>
              </w:rPr>
              <w:t xml:space="preserve">, if any EU user. Assume yes</w:t>
            </w:r>
          </w:p>
        </w:tc>
      </w:tr>
      <w:tr>
        <w:trPr>
          <w:tblHeader w:val="false"/>
        </w:trPr>
        <w:tc>
          <w:tcPr>
            <w:tcW w:type="dxa" w:w="142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India DPDP applicable?</w:t>
            </w:r>
          </w:p>
        </w:tc>
        <w:tc>
          <w:tcPr>
            <w:tcW w:type="dxa" w:w="793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Yes</w:t>
            </w:r>
            <w:r>
              <w:rPr>
                <w:color w:val="13272F"/>
                <w:sz w:val="17"/>
                <w:szCs w:val="17"/>
              </w:rPr>
              <w:t xml:space="preserve">, if Indian users — likely the launch market given </w:t>
            </w: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PRD</w:t>
            </w:r>
            <w:r>
              <w:rPr>
                <w:color w:val="13272F"/>
                <w:sz w:val="17"/>
                <w:szCs w:val="17"/>
              </w:rPr>
              <w:t xml:space="preserve"> §9.4 regional pricing</w:t>
            </w:r>
          </w:p>
        </w:tc>
      </w:tr>
      <w:tr>
        <w:trPr>
          <w:tblHeader w:val="false"/>
        </w:trPr>
        <w:tc>
          <w:tcPr>
            <w:tcW w:type="dxa" w:w="1429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Where does data live?</w:t>
            </w:r>
          </w:p>
        </w:tc>
        <w:tc>
          <w:tcPr>
            <w:tcW w:type="dxa" w:w="7931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Wherever the Supabase region is set. </w:t>
            </w:r>
            <w:r>
              <w:rPr>
                <w:b/>
                <w:bCs/>
                <w:color w:val="13272F"/>
                <w:sz w:val="17"/>
                <w:szCs w:val="17"/>
              </w:rPr>
              <w:t xml:space="preserve">⟨DECIDE⟩ — this must be chosen deliberately before launch, not defaulted</w:t>
            </w:r>
          </w:p>
        </w:tc>
      </w:tr>
      <w:tr>
        <w:trPr>
          <w:tblHeader w:val="false"/>
        </w:trPr>
        <w:tc>
          <w:tcPr>
            <w:tcW w:type="dxa" w:w="142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Lawful basis</w:t>
            </w:r>
          </w:p>
        </w:tc>
        <w:tc>
          <w:tcPr>
            <w:tcW w:type="dxa" w:w="793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Contract for service delivery; </w:t>
            </w:r>
            <w:r>
              <w:rPr>
                <w:b/>
                <w:bCs/>
                <w:color w:val="13272F"/>
                <w:sz w:val="17"/>
                <w:szCs w:val="17"/>
              </w:rPr>
              <w:t xml:space="preserve">explicit opt-in consent</w:t>
            </w:r>
            <w:r>
              <w:rPr>
                <w:color w:val="13272F"/>
                <w:sz w:val="17"/>
                <w:szCs w:val="17"/>
              </w:rPr>
              <w:t xml:space="preserve"> for research use (</w:t>
            </w: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consent_research</w:t>
            </w:r>
            <w:r>
              <w:rPr>
                <w:color w:val="13272F"/>
                <w:sz w:val="17"/>
                <w:szCs w:val="17"/>
              </w:rPr>
              <w:t xml:space="preserve">), separately revocable</w:t>
            </w:r>
          </w:p>
        </w:tc>
      </w:tr>
      <w:tr>
        <w:trPr>
          <w:tblHeader w:val="false"/>
        </w:trPr>
        <w:tc>
          <w:tcPr>
            <w:tcW w:type="dxa" w:w="1429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Under-16 users</w:t>
            </w:r>
          </w:p>
        </w:tc>
        <w:tc>
          <w:tcPr>
            <w:tcW w:type="dxa" w:w="7931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Out of scope — medical trainees. Terms should state a minimum age</w:t>
            </w:r>
          </w:p>
        </w:tc>
      </w:tr>
    </w:tbl>
    <w:p>
      <w:pPr>
        <w:spacing w:after="160"/>
      </w:pP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Required before launch:</w:t>
      </w:r>
      <w:r>
        <w:rPr>
          <w:color w:val="13272F"/>
          <w:sz w:val="20"/>
          <w:szCs w:val="20"/>
        </w:rPr>
        <w:t xml:space="preserve"> a privacy policy, terms of service, a cookie notice,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and a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security@</w:t>
      </w:r>
      <w:r>
        <w:rPr>
          <w:color w:val="13272F"/>
          <w:sz w:val="20"/>
          <w:szCs w:val="20"/>
        </w:rPr>
        <w:t xml:space="preserve"> address. All four are visible to users, and all four are things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a reviewer or an institution will look for.</w:t>
      </w:r>
    </w:p>
    <w:p>
      <w:pPr>
        <w:pBdr>
          <w:bottom w:val="single" w:color="D6E2E6" w:sz="6" w:space="2"/>
        </w:pBdr>
        <w:spacing w:after="120" w:before="120"/>
      </w:pPr>
      <w:r>
        <w:t xml:space="preserve"/>
      </w: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8 · Pre-launch checklist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Nothing here is optional, and none of it is expensive. Losing a week to it is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cheaper than one incident.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Infrastructure</w:t>
      </w:r>
    </w:p>
    <w:p>
      <w:pPr>
        <w:pStyle w:val="ListParagraph"/>
        <w:numPr>
          <w:ilvl w:val="0"/>
          <w:numId w:val="1"/>
        </w:numPr>
        <w:spacing w:after="40" w:before="40" w:line="280"/>
      </w:pPr>
      <w:r>
        <w:rPr>
          <w:color w:val="13272F"/>
          <w:sz w:val="20"/>
          <w:szCs w:val="20"/>
        </w:rPr>
        <w:t xml:space="preserve">[ ] HTTPS enforced, HTTP redirects, HSTS present</w:t>
      </w:r>
    </w:p>
    <w:p>
      <w:pPr>
        <w:pStyle w:val="ListParagraph"/>
        <w:numPr>
          <w:ilvl w:val="0"/>
          <w:numId w:val="1"/>
        </w:numPr>
        <w:spacing w:after="40" w:before="40" w:line="280"/>
      </w:pPr>
      <w:r>
        <w:rPr>
          <w:color w:val="13272F"/>
          <w:sz w:val="20"/>
          <w:szCs w:val="20"/>
        </w:rPr>
        <w:t xml:space="preserve">[ ] All security headers set (§5.3); CSP report-only first, then enforcing</w:t>
      </w:r>
    </w:p>
    <w:p>
      <w:pPr>
        <w:pStyle w:val="ListParagraph"/>
        <w:numPr>
          <w:ilvl w:val="0"/>
          <w:numId w:val="1"/>
        </w:numPr>
        <w:spacing w:after="40" w:before="40" w:line="280"/>
      </w:pPr>
      <w:r>
        <w:rPr>
          <w:color w:val="13272F"/>
          <w:sz w:val="20"/>
          <w:szCs w:val="20"/>
        </w:rPr>
        <w:t xml:space="preserve">[ ] Every secret rotated from its development value</w:t>
      </w:r>
    </w:p>
    <w:p>
      <w:pPr>
        <w:pStyle w:val="ListParagraph"/>
        <w:numPr>
          <w:ilvl w:val="0"/>
          <w:numId w:val="1"/>
        </w:numPr>
        <w:spacing w:after="40" w:before="40" w:line="280"/>
      </w:pPr>
      <w:r>
        <w:rPr>
          <w:color w:val="13272F"/>
          <w:sz w:val="20"/>
          <w:szCs w:val="20"/>
        </w:rPr>
        <w:t xml:space="preserve">[ ] Supabase region chosen deliberately (§7)</w:t>
      </w:r>
    </w:p>
    <w:p>
      <w:pPr>
        <w:pStyle w:val="ListParagraph"/>
        <w:numPr>
          <w:ilvl w:val="0"/>
          <w:numId w:val="1"/>
        </w:numPr>
        <w:spacing w:after="40" w:before="40" w:line="280"/>
      </w:pPr>
      <w:r>
        <w:rPr>
          <w:color w:val="13272F"/>
          <w:sz w:val="20"/>
          <w:szCs w:val="20"/>
        </w:rPr>
        <w:t xml:space="preserve">[ ] Backups on, and </w:t>
      </w:r>
      <w:r>
        <w:rPr>
          <w:b/>
          <w:bCs/>
          <w:color w:val="13272F"/>
          <w:sz w:val="20"/>
          <w:szCs w:val="20"/>
        </w:rPr>
        <w:t xml:space="preserve">one restore actually performed</w:t>
      </w:r>
      <w:r>
        <w:rPr>
          <w:color w:val="13272F"/>
          <w:sz w:val="20"/>
          <w:szCs w:val="20"/>
        </w:rPr>
        <w:t xml:space="preserve"> (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TECH_SPEC</w:t>
      </w:r>
      <w:r>
        <w:rPr>
          <w:color w:val="13272F"/>
          <w:sz w:val="20"/>
          <w:szCs w:val="20"/>
        </w:rPr>
        <w:t xml:space="preserve"> §9.5)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Application</w:t>
      </w:r>
    </w:p>
    <w:p>
      <w:pPr>
        <w:pStyle w:val="ListParagraph"/>
        <w:numPr>
          <w:ilvl w:val="0"/>
          <w:numId w:val="1"/>
        </w:numPr>
        <w:spacing w:after="40" w:before="40" w:line="280"/>
      </w:pPr>
      <w:r>
        <w:rPr>
          <w:color w:val="13272F"/>
          <w:sz w:val="20"/>
          <w:szCs w:val="20"/>
        </w:rPr>
        <w:t xml:space="preserve">[ ] RLS on for every user-data table; verified by a test that tries to read another user's row</w:t>
      </w:r>
    </w:p>
    <w:p>
      <w:pPr>
        <w:pStyle w:val="ListParagraph"/>
        <w:numPr>
          <w:ilvl w:val="0"/>
          <w:numId w:val="1"/>
        </w:numPr>
        <w:spacing w:after="40" w:before="40" w:line="280"/>
      </w:pPr>
      <w:r>
        <w:rPr>
          <w:color w:val="13272F"/>
          <w:sz w:val="20"/>
          <w:szCs w:val="20"/>
        </w:rPr>
        <w:t xml:space="preserve">[ ] Sign-in and password reset do not reveal whether an email exists (T4 gap)</w:t>
      </w:r>
    </w:p>
    <w:p>
      <w:pPr>
        <w:pStyle w:val="ListParagraph"/>
        <w:numPr>
          <w:ilvl w:val="0"/>
          <w:numId w:val="1"/>
        </w:numPr>
        <w:spacing w:after="40" w:before="40" w:line="280"/>
      </w:pPr>
      <w:r>
        <w:rPr>
          <w:color w:val="13272F"/>
          <w:sz w:val="20"/>
          <w:szCs w:val="20"/>
        </w:rPr>
        <w:t xml:space="preserve">[ ] Rate limits verified live, not just configured</w:t>
      </w:r>
    </w:p>
    <w:p>
      <w:pPr>
        <w:pStyle w:val="ListParagraph"/>
        <w:numPr>
          <w:ilvl w:val="0"/>
          <w:numId w:val="1"/>
        </w:numPr>
        <w:spacing w:after="40" w:before="40" w:line="280"/>
      </w:pPr>
      <w:r>
        <w:rPr>
          <w:color w:val="13272F"/>
          <w:sz w:val="20"/>
          <w:szCs w:val="20"/>
        </w:rPr>
        <w:t xml:space="preserve">[ ] Stripe webhook signature verification tested with a forged request</w:t>
      </w:r>
    </w:p>
    <w:p>
      <w:pPr>
        <w:pStyle w:val="ListParagraph"/>
        <w:numPr>
          <w:ilvl w:val="0"/>
          <w:numId w:val="1"/>
        </w:numPr>
        <w:spacing w:after="40" w:before="40" w:line="280"/>
      </w:pPr>
      <w:r>
        <w:rPr>
          <w:color w:val="13272F"/>
          <w:sz w:val="20"/>
          <w:szCs w:val="20"/>
        </w:rPr>
        <w:t xml:space="preserve">[ ]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dangerouslySetInnerHTML</w:t>
      </w:r>
      <w:r>
        <w:rPr>
          <w:color w:val="13272F"/>
          <w:sz w:val="20"/>
          <w:szCs w:val="20"/>
        </w:rPr>
        <w:t xml:space="preserve"> lint rule active</w:t>
      </w:r>
    </w:p>
    <w:p>
      <w:pPr>
        <w:pStyle w:val="ListParagraph"/>
        <w:numPr>
          <w:ilvl w:val="0"/>
          <w:numId w:val="1"/>
        </w:numPr>
        <w:spacing w:after="40" w:before="40" w:line="280"/>
      </w:pPr>
      <w:r>
        <w:rPr>
          <w:color w:val="13272F"/>
          <w:sz w:val="20"/>
          <w:szCs w:val="20"/>
        </w:rPr>
        <w:t xml:space="preserve">[ ] Contract tests CT-1/CT-2/CT-5 written (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TEST_STRATEGY</w:t>
      </w:r>
      <w:r>
        <w:rPr>
          <w:color w:val="13272F"/>
          <w:sz w:val="20"/>
          <w:szCs w:val="20"/>
        </w:rPr>
        <w:t xml:space="preserve"> §8)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Process</w:t>
      </w:r>
    </w:p>
    <w:p>
      <w:pPr>
        <w:pStyle w:val="ListParagraph"/>
        <w:numPr>
          <w:ilvl w:val="0"/>
          <w:numId w:val="1"/>
        </w:numPr>
        <w:spacing w:after="40" w:before="40" w:line="280"/>
      </w:pPr>
      <w:r>
        <w:rPr>
          <w:color w:val="13272F"/>
          <w:sz w:val="20"/>
          <w:szCs w:val="20"/>
        </w:rPr>
        <w:t xml:space="preserve">[ ]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gitleaks</w:t>
      </w:r>
      <w:r>
        <w:rPr>
          <w:color w:val="13272F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pip-audit</w:t>
      </w:r>
      <w:r>
        <w:rPr>
          <w:color w:val="13272F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npm audit</w:t>
      </w:r>
      <w:r>
        <w:rPr>
          <w:color w:val="13272F"/>
          <w:sz w:val="20"/>
          <w:szCs w:val="20"/>
        </w:rPr>
        <w:t xml:space="preserve"> in CI, failing on High</w:t>
      </w:r>
    </w:p>
    <w:p>
      <w:pPr>
        <w:pStyle w:val="ListParagraph"/>
        <w:numPr>
          <w:ilvl w:val="0"/>
          <w:numId w:val="1"/>
        </w:numPr>
        <w:spacing w:after="40" w:before="40" w:line="280"/>
      </w:pPr>
      <w:r>
        <w:rPr>
          <w:color w:val="13272F"/>
          <w:sz w:val="20"/>
          <w:szCs w:val="20"/>
        </w:rPr>
        <w:t xml:space="preserve">[ ] Dependabot on, security updates only</w:t>
      </w:r>
    </w:p>
    <w:p>
      <w:pPr>
        <w:pStyle w:val="ListParagraph"/>
        <w:numPr>
          <w:ilvl w:val="0"/>
          <w:numId w:val="1"/>
        </w:numPr>
        <w:spacing w:after="40" w:before="40" w:line="280"/>
      </w:pPr>
      <w:r>
        <w:rPr>
          <w:color w:val="13272F"/>
          <w:sz w:val="20"/>
          <w:szCs w:val="20"/>
        </w:rPr>
        <w:t xml:space="preserve">[ ] MFA on every admin account, and on Supabase, Stripe, Render, GitHub</w:t>
      </w:r>
    </w:p>
    <w:p>
      <w:pPr>
        <w:pStyle w:val="ListParagraph"/>
        <w:numPr>
          <w:ilvl w:val="0"/>
          <w:numId w:val="1"/>
        </w:numPr>
        <w:spacing w:after="40" w:before="40" w:line="280"/>
      </w:pPr>
      <w:r>
        <w:rPr>
          <w:color w:val="13272F"/>
          <w:sz w:val="20"/>
          <w:szCs w:val="20"/>
        </w:rPr>
        <w:t xml:space="preserve">[ ] No shared admin login</w:t>
      </w:r>
    </w:p>
    <w:p>
      <w:pPr>
        <w:pStyle w:val="ListParagraph"/>
        <w:numPr>
          <w:ilvl w:val="0"/>
          <w:numId w:val="1"/>
        </w:numPr>
        <w:spacing w:after="40" w:before="40" w:line="280"/>
      </w:pPr>
      <w:r>
        <w:rPr>
          <w:color w:val="13272F"/>
          <w:sz w:val="20"/>
          <w:szCs w:val="20"/>
        </w:rPr>
        <w:t xml:space="preserve">[ ] Incident contacts filled in (§6)</w:t>
      </w:r>
    </w:p>
    <w:p>
      <w:pPr>
        <w:pStyle w:val="ListParagraph"/>
        <w:numPr>
          <w:ilvl w:val="0"/>
          <w:numId w:val="1"/>
        </w:numPr>
        <w:spacing w:after="40" w:before="40" w:line="280"/>
      </w:pPr>
      <w:r>
        <w:rPr>
          <w:color w:val="13272F"/>
          <w:sz w:val="20"/>
          <w:szCs w:val="20"/>
        </w:rPr>
        <w:t xml:space="preserve">[ ]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security@</w:t>
      </w:r>
      <w:r>
        <w:rPr>
          <w:color w:val="13272F"/>
          <w:sz w:val="20"/>
          <w:szCs w:val="20"/>
        </w:rPr>
        <w:t xml:space="preserve"> address live and monitored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Legal</w:t>
      </w:r>
    </w:p>
    <w:p>
      <w:pPr>
        <w:pStyle w:val="ListParagraph"/>
        <w:numPr>
          <w:ilvl w:val="0"/>
          <w:numId w:val="1"/>
        </w:numPr>
        <w:spacing w:after="40" w:before="40" w:line="280"/>
      </w:pPr>
      <w:r>
        <w:rPr>
          <w:color w:val="13272F"/>
          <w:sz w:val="20"/>
          <w:szCs w:val="20"/>
        </w:rPr>
        <w:t xml:space="preserve">[ ] Privacy policy, terms, cookie notice published</w:t>
      </w:r>
    </w:p>
    <w:p>
      <w:pPr>
        <w:pStyle w:val="ListParagraph"/>
        <w:numPr>
          <w:ilvl w:val="0"/>
          <w:numId w:val="1"/>
        </w:numPr>
        <w:spacing w:after="40" w:before="40" w:line="280"/>
      </w:pPr>
      <w:r>
        <w:rPr>
          <w:color w:val="13272F"/>
          <w:sz w:val="20"/>
          <w:szCs w:val="20"/>
        </w:rPr>
        <w:t xml:space="preserve">[ ] Deletion screen states plainly what is retained (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DATA_MODEL</w:t>
      </w:r>
      <w:r>
        <w:rPr>
          <w:color w:val="13272F"/>
          <w:sz w:val="20"/>
          <w:szCs w:val="20"/>
        </w:rPr>
        <w:t xml:space="preserve"> §10.2)</w:t>
      </w:r>
    </w:p>
    <w:p>
      <w:pPr>
        <w:pStyle w:val="ListParagraph"/>
        <w:numPr>
          <w:ilvl w:val="0"/>
          <w:numId w:val="1"/>
        </w:numPr>
        <w:spacing w:after="40" w:before="40" w:line="280"/>
      </w:pPr>
      <w:r>
        <w:rPr>
          <w:color w:val="13272F"/>
          <w:sz w:val="20"/>
          <w:szCs w:val="20"/>
        </w:rPr>
        <w:t xml:space="preserve">[ ] Research consent separate from terms acceptance, and revocable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A note on penetration testing.</w:t>
      </w:r>
      <w:r>
        <w:rPr>
          <w:color w:val="13272F"/>
          <w:sz w:val="20"/>
          <w:szCs w:val="20"/>
        </w:rPr>
        <w:t xml:space="preserve"> A professional test costs more than this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project will have. The honest substitute: work the checklist above, run the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automated scanners, and publish a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security@</w:t>
      </w:r>
      <w:r>
        <w:rPr>
          <w:color w:val="13272F"/>
          <w:sz w:val="20"/>
          <w:szCs w:val="20"/>
        </w:rPr>
        <w:t xml:space="preserve"> address so that a researcher who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finds something can tell you instead of publishing it.</w:t>
      </w:r>
    </w:p>
    <w:p>
      <w:pPr>
        <w:pBdr>
          <w:bottom w:val="single" w:color="D6E2E6" w:sz="6" w:space="2"/>
        </w:pBdr>
        <w:spacing w:after="120" w:before="120"/>
      </w:pPr>
      <w:r>
        <w:t xml:space="preserve"/>
      </w: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9 · Accepted risks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Risks we are choosing to carry. Recorded so the choice is visible rather than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accidental.</w:t>
      </w:r>
    </w:p>
    <w:tbl>
      <w:tblPr>
        <w:tblW w:type="dxa" w:w="9360"/>
        <w:tblBorders>
          <w:top w:val="single" w:color="D6E2E6" w:sz="2"/>
          <w:left w:val="single" w:color="D6E2E6" w:sz="2"/>
          <w:bottom w:val="single" w:color="D6E2E6" w:sz="2"/>
          <w:right w:val="single" w:color="D6E2E6" w:sz="2"/>
          <w:insideH w:val="single" w:color="D6E2E6" w:sz="1"/>
          <w:insideV w:val="single" w:color="D6E2E6" w:sz="1"/>
        </w:tblBorders>
      </w:tblPr>
      <w:tblGrid>
        <w:gridCol w:w="2210"/>
        <w:gridCol w:w="4187"/>
        <w:gridCol w:w="2963"/>
      </w:tblGrid>
      <w:tr>
        <w:trPr>
          <w:tblHeader/>
        </w:trPr>
        <w:tc>
          <w:tcPr>
            <w:tcW w:type="dxa" w:w="2210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Risk</w:t>
            </w:r>
          </w:p>
        </w:tc>
        <w:tc>
          <w:tcPr>
            <w:tcW w:type="dxa" w:w="4187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Why accepted</w:t>
            </w:r>
          </w:p>
        </w:tc>
        <w:tc>
          <w:tcPr>
            <w:tcW w:type="dxa" w:w="2963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Revisit when</w:t>
            </w:r>
          </w:p>
        </w:tc>
      </w:tr>
      <w:tr>
        <w:trPr>
          <w:tblHeader w:val="false"/>
        </w:trPr>
        <w:tc>
          <w:tcPr>
            <w:tcW w:type="dxa" w:w="221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Supabase is a single point of failure for A1–A5</w:t>
            </w:r>
          </w:p>
        </w:tc>
        <w:tc>
          <w:tcPr>
            <w:tcW w:type="dxa" w:w="4187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The alternative is self-managed Postgres with no DBA — worse in every dimension. </w:t>
            </w: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ADR-0001</w:t>
            </w:r>
          </w:p>
        </w:tc>
        <w:tc>
          <w:tcPr>
            <w:tcW w:type="dxa" w:w="296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Revenue supports a DBA, or an institutional contract demands it</w:t>
            </w:r>
          </w:p>
        </w:tc>
      </w:tr>
      <w:tr>
        <w:trPr>
          <w:tblHeader w:val="false"/>
        </w:trPr>
        <w:tc>
          <w:tcPr>
            <w:tcW w:type="dxa" w:w="2210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No professional security review</w:t>
            </w:r>
          </w:p>
        </w:tc>
        <w:tc>
          <w:tcPr>
            <w:tcW w:type="dxa" w:w="4187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Cost. Mitigated by delegating auth and payments, and by defence in depth</w:t>
            </w:r>
          </w:p>
        </w:tc>
        <w:tc>
          <w:tcPr>
            <w:tcW w:type="dxa" w:w="2963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First institutional customer, or first outside funding</w:t>
            </w:r>
          </w:p>
        </w:tc>
      </w:tr>
      <w:tr>
        <w:trPr>
          <w:tblHeader w:val="false"/>
        </w:trPr>
        <w:tc>
          <w:tcPr>
            <w:tcW w:type="dxa" w:w="221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Persona leakage is unsolved</w:t>
            </w:r>
          </w:p>
        </w:tc>
        <w:tc>
          <w:tcPr>
            <w:tcW w:type="dxa" w:w="4187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Hard problem; </w:t>
            </w: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TECH_SPEC</w:t>
            </w:r>
            <w:r>
              <w:rPr>
                <w:color w:val="13272F"/>
                <w:sz w:val="17"/>
                <w:szCs w:val="17"/>
              </w:rPr>
              <w:t xml:space="preserve"> §5.3 rates it the largest residual risk</w:t>
            </w:r>
          </w:p>
        </w:tc>
        <w:tc>
          <w:tcPr>
            <w:tcW w:type="dxa" w:w="296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T-040 — before any published claim relies on post-pilot data</w:t>
            </w:r>
          </w:p>
        </w:tc>
      </w:tr>
      <w:tr>
        <w:trPr>
          <w:tblHeader w:val="false"/>
        </w:trPr>
        <w:tc>
          <w:tcPr>
            <w:tcW w:type="dxa" w:w="2210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Account sharing is not prevented</w:t>
            </w:r>
          </w:p>
        </w:tc>
        <w:tc>
          <w:tcPr>
            <w:tcW w:type="dxa" w:w="4187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Not preventable at this price point</w:t>
            </w:r>
          </w:p>
        </w:tc>
        <w:tc>
          <w:tcPr>
            <w:tcW w:type="dxa" w:w="2963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Sharing measurably affects revenue</w:t>
            </w:r>
          </w:p>
        </w:tc>
      </w:tr>
      <w:tr>
        <w:trPr>
          <w:tblHeader w:val="false"/>
        </w:trPr>
        <w:tc>
          <w:tcPr>
            <w:tcW w:type="dxa" w:w="221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Session store is in process memory</w:t>
            </w:r>
          </w:p>
        </w:tc>
        <w:tc>
          <w:tcPr>
            <w:tcW w:type="dxa" w:w="4187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Prototype state; blocker B1</w:t>
            </w:r>
          </w:p>
        </w:tc>
        <w:tc>
          <w:tcPr>
            <w:tcW w:type="dxa" w:w="296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T-013</w:t>
            </w:r>
          </w:p>
        </w:tc>
      </w:tr>
    </w:tbl>
    <w:p>
      <w:pPr>
        <w:spacing w:after="160"/>
      </w:pPr>
    </w:p>
    <w:p>
      <w:pPr>
        <w:pBdr>
          <w:bottom w:val="single" w:color="D6E2E6" w:sz="6" w:space="2"/>
        </w:pBdr>
        <w:spacing w:after="120" w:before="120"/>
      </w:pPr>
      <w:r>
        <w:t xml:space="preserve"/>
      </w: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10 · Open items</w:t>
      </w:r>
    </w:p>
    <w:tbl>
      <w:tblPr>
        <w:tblW w:type="dxa" w:w="9360"/>
        <w:tblBorders>
          <w:top w:val="single" w:color="D6E2E6" w:sz="2"/>
          <w:left w:val="single" w:color="D6E2E6" w:sz="2"/>
          <w:bottom w:val="single" w:color="D6E2E6" w:sz="2"/>
          <w:right w:val="single" w:color="D6E2E6" w:sz="2"/>
          <w:insideH w:val="single" w:color="D6E2E6" w:sz="1"/>
          <w:insideV w:val="single" w:color="D6E2E6" w:sz="1"/>
        </w:tblBorders>
      </w:tblPr>
      <w:tblGrid>
        <w:gridCol w:w="668"/>
        <w:gridCol w:w="6353"/>
        <w:gridCol w:w="668"/>
        <w:gridCol w:w="1671"/>
      </w:tblGrid>
      <w:tr>
        <w:trPr>
          <w:tblHeader/>
        </w:trPr>
        <w:tc>
          <w:tcPr>
            <w:tcW w:type="dxa" w:w="668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6353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Item</w:t>
            </w:r>
          </w:p>
        </w:tc>
        <w:tc>
          <w:tcPr>
            <w:tcW w:type="dxa" w:w="668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Owner</w:t>
            </w:r>
          </w:p>
        </w:tc>
        <w:tc>
          <w:tcPr>
            <w:tcW w:type="dxa" w:w="1671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Blocking</w:t>
            </w:r>
          </w:p>
        </w:tc>
      </w:tr>
      <w:tr>
        <w:trPr>
          <w:tblHeader w:val="false"/>
        </w:trPr>
        <w:tc>
          <w:tcPr>
            <w:tcW w:type="dxa" w:w="66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S-1</w:t>
            </w:r>
          </w:p>
        </w:tc>
        <w:tc>
          <w:tcPr>
            <w:tcW w:type="dxa" w:w="635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ADR: what an institution may see.</w:t>
            </w:r>
            <w:r>
              <w:rPr>
                <w:color w:val="13272F"/>
                <w:sz w:val="17"/>
                <w:szCs w:val="17"/>
              </w:rPr>
              <w:t xml:space="preserve"> Aggregate-only with a group-size floor. T3 — product-defining</w:t>
            </w:r>
          </w:p>
        </w:tc>
        <w:tc>
          <w:tcPr>
            <w:tcW w:type="dxa" w:w="66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V</w:t>
            </w:r>
          </w:p>
        </w:tc>
        <w:tc>
          <w:tcPr>
            <w:tcW w:type="dxa" w:w="167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Any institutional feature</w:t>
            </w:r>
          </w:p>
        </w:tc>
      </w:tr>
      <w:tr>
        <w:trPr>
          <w:tblHeader w:val="false"/>
        </w:trPr>
        <w:tc>
          <w:tcPr>
            <w:tcW w:type="dxa" w:w="668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S-2</w:t>
            </w:r>
          </w:p>
        </w:tc>
        <w:tc>
          <w:tcPr>
            <w:tcW w:type="dxa" w:w="6353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Email enumeration on sign-in and reset — specify behaviour</w:t>
            </w:r>
          </w:p>
        </w:tc>
        <w:tc>
          <w:tcPr>
            <w:tcW w:type="dxa" w:w="668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V</w:t>
            </w:r>
          </w:p>
        </w:tc>
        <w:tc>
          <w:tcPr>
            <w:tcW w:type="dxa" w:w="1671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Launch</w:t>
            </w:r>
          </w:p>
        </w:tc>
      </w:tr>
      <w:tr>
        <w:trPr>
          <w:tblHeader w:val="false"/>
        </w:trPr>
        <w:tc>
          <w:tcPr>
            <w:tcW w:type="dxa" w:w="66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S-3</w:t>
            </w:r>
          </w:p>
        </w:tc>
        <w:tc>
          <w:tcPr>
            <w:tcW w:type="dxa" w:w="635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MFA policy for admin accounts</w:t>
            </w:r>
          </w:p>
        </w:tc>
        <w:tc>
          <w:tcPr>
            <w:tcW w:type="dxa" w:w="66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V</w:t>
            </w:r>
          </w:p>
        </w:tc>
        <w:tc>
          <w:tcPr>
            <w:tcW w:type="dxa" w:w="167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First non-founder admin</w:t>
            </w:r>
          </w:p>
        </w:tc>
      </w:tr>
      <w:tr>
        <w:trPr>
          <w:tblHeader w:val="false"/>
        </w:trPr>
        <w:tc>
          <w:tcPr>
            <w:tcW w:type="dxa" w:w="668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S-4</w:t>
            </w:r>
          </w:p>
        </w:tc>
        <w:tc>
          <w:tcPr>
            <w:tcW w:type="dxa" w:w="6353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Data residency / Supabase region ⟨DECIDE⟩</w:t>
            </w:r>
          </w:p>
        </w:tc>
        <w:tc>
          <w:tcPr>
            <w:tcW w:type="dxa" w:w="668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V</w:t>
            </w:r>
          </w:p>
        </w:tc>
        <w:tc>
          <w:tcPr>
            <w:tcW w:type="dxa" w:w="1671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Launch</w:t>
            </w:r>
          </w:p>
        </w:tc>
      </w:tr>
      <w:tr>
        <w:trPr>
          <w:tblHeader w:val="false"/>
        </w:trPr>
        <w:tc>
          <w:tcPr>
            <w:tcW w:type="dxa" w:w="66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S-5</w:t>
            </w:r>
          </w:p>
        </w:tc>
        <w:tc>
          <w:tcPr>
            <w:tcW w:type="dxa" w:w="635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CSP finalised against the real frontend</w:t>
            </w:r>
          </w:p>
        </w:tc>
        <w:tc>
          <w:tcPr>
            <w:tcW w:type="dxa" w:w="66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V</w:t>
            </w:r>
          </w:p>
        </w:tc>
        <w:tc>
          <w:tcPr>
            <w:tcW w:type="dxa" w:w="167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T-030</w:t>
            </w:r>
          </w:p>
        </w:tc>
      </w:tr>
      <w:tr>
        <w:trPr>
          <w:tblHeader w:val="false"/>
        </w:trPr>
        <w:tc>
          <w:tcPr>
            <w:tcW w:type="dxa" w:w="668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S-6</w:t>
            </w:r>
          </w:p>
        </w:tc>
        <w:tc>
          <w:tcPr>
            <w:tcW w:type="dxa" w:w="6353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Incident contacts filled in</w:t>
            </w:r>
          </w:p>
        </w:tc>
        <w:tc>
          <w:tcPr>
            <w:tcW w:type="dxa" w:w="668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V</w:t>
            </w:r>
          </w:p>
        </w:tc>
        <w:tc>
          <w:tcPr>
            <w:tcW w:type="dxa" w:w="1671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Launch</w:t>
            </w:r>
          </w:p>
        </w:tc>
      </w:tr>
      <w:tr>
        <w:trPr>
          <w:tblHeader w:val="false"/>
        </w:trPr>
        <w:tc>
          <w:tcPr>
            <w:tcW w:type="dxa" w:w="66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S-7</w:t>
            </w:r>
          </w:p>
        </w:tc>
        <w:tc>
          <w:tcPr>
            <w:tcW w:type="dxa" w:w="635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Privacy policy, terms, cookie notice</w:t>
            </w:r>
          </w:p>
        </w:tc>
        <w:tc>
          <w:tcPr>
            <w:tcW w:type="dxa" w:w="66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V</w:t>
            </w:r>
          </w:p>
        </w:tc>
        <w:tc>
          <w:tcPr>
            <w:tcW w:type="dxa" w:w="167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Launch</w:t>
            </w:r>
          </w:p>
        </w:tc>
      </w:tr>
      <w:tr>
        <w:trPr>
          <w:tblHeader w:val="false"/>
        </w:trPr>
        <w:tc>
          <w:tcPr>
            <w:tcW w:type="dxa" w:w="668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S-8</w:t>
            </w:r>
          </w:p>
        </w:tc>
        <w:tc>
          <w:tcPr>
            <w:tcW w:type="dxa" w:w="6353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BUILD_PLAN tasks for §5.2, §5.3 and the checklist</w:t>
            </w:r>
          </w:p>
        </w:tc>
        <w:tc>
          <w:tcPr>
            <w:tcW w:type="dxa" w:w="668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V</w:t>
            </w:r>
          </w:p>
        </w:tc>
        <w:tc>
          <w:tcPr>
            <w:tcW w:type="dxa" w:w="1671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—</w:t>
            </w:r>
          </w:p>
        </w:tc>
      </w:tr>
    </w:tbl>
    <w:p>
      <w:pPr>
        <w:spacing w:after="160"/>
      </w:pP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S-1 is the one to do first.</w:t>
      </w:r>
      <w:r>
        <w:rPr>
          <w:color w:val="13272F"/>
          <w:sz w:val="20"/>
          <w:szCs w:val="20"/>
        </w:rPr>
        <w:t xml:space="preserve"> It is not an implementation detail — it decides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whether trainees can trust the product, which decides whether the measurement is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valid at all.</w:t>
      </w:r>
    </w:p>
    <w:p>
      <w:pPr>
        <w:pBdr>
          <w:bottom w:val="single" w:color="D6E2E6" w:sz="6" w:space="2"/>
        </w:pBdr>
        <w:spacing w:after="120" w:before="120"/>
      </w:pPr>
      <w:r>
        <w:t xml:space="preserve"/>
      </w: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11 · Change log</w:t>
      </w:r>
    </w:p>
    <w:tbl>
      <w:tblPr>
        <w:tblW w:type="dxa" w:w="9360"/>
        <w:tblBorders>
          <w:top w:val="single" w:color="D6E2E6" w:sz="2"/>
          <w:left w:val="single" w:color="D6E2E6" w:sz="2"/>
          <w:bottom w:val="single" w:color="D6E2E6" w:sz="2"/>
          <w:right w:val="single" w:color="D6E2E6" w:sz="2"/>
          <w:insideH w:val="single" w:color="D6E2E6" w:sz="1"/>
          <w:insideV w:val="single" w:color="D6E2E6" w:sz="1"/>
        </w:tblBorders>
      </w:tblPr>
      <w:tblGrid>
        <w:gridCol w:w="1305"/>
        <w:gridCol w:w="8055"/>
      </w:tblGrid>
      <w:tr>
        <w:trPr>
          <w:tblHeader/>
        </w:trPr>
        <w:tc>
          <w:tcPr>
            <w:tcW w:type="dxa" w:w="1305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Date</w:t>
            </w:r>
          </w:p>
        </w:tc>
        <w:tc>
          <w:tcPr>
            <w:tcW w:type="dxa" w:w="8055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Change</w:t>
            </w:r>
          </w:p>
        </w:tc>
      </w:tr>
      <w:tr>
        <w:trPr>
          <w:tblHeader w:val="false"/>
        </w:trPr>
        <w:tc>
          <w:tcPr>
            <w:tcW w:type="dxa" w:w="130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5 Sep 2026</w:t>
            </w:r>
          </w:p>
        </w:tc>
        <w:tc>
          <w:tcPr>
            <w:tcW w:type="dxa" w:w="805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Created. Consolidated </w:t>
            </w: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ADR-0001/0002/0005</w:t>
            </w:r>
            <w:r>
              <w:rPr>
                <w:color w:val="1327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DATA_MODEL</w:t>
            </w:r>
            <w:r>
              <w:rPr>
                <w:color w:val="13272F"/>
                <w:sz w:val="17"/>
                <w:szCs w:val="17"/>
              </w:rPr>
              <w:t xml:space="preserve"> §10, </w:t>
            </w: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API_CONTRACT</w:t>
            </w:r>
            <w:r>
              <w:rPr>
                <w:color w:val="13272F"/>
                <w:sz w:val="17"/>
                <w:szCs w:val="17"/>
              </w:rPr>
              <w:t xml:space="preserve"> §2, </w:t>
            </w: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UX_SPEC</w:t>
            </w:r>
            <w:r>
              <w:rPr>
                <w:color w:val="13272F"/>
                <w:sz w:val="17"/>
                <w:szCs w:val="17"/>
              </w:rPr>
              <w:t xml:space="preserve"> §6/§8.3. New: threat model (§3), secrets lifecycle, dependency management, security headers, injection handling, admin access, incident response, legal position, pre-launch checklist.</w:t>
            </w:r>
          </w:p>
        </w:tc>
      </w:tr>
    </w:tbl>
    <w:p>
      <w:pPr>
        <w:spacing w:after="160"/>
      </w:pP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3272F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Nidan — System Design &amp; Engineering Specification</dc:title>
  <dc:creator>Vraj Patel, Yogesh Bagotia</dc:creator>
  <cp:lastModifiedBy>Un-named</cp:lastModifiedBy>
  <cp:revision>1</cp:revision>
  <dcterms:created xsi:type="dcterms:W3CDTF">2026-09-11T05:12:19.917Z</dcterms:created>
  <dcterms:modified xsi:type="dcterms:W3CDTF">2026-09-11T05:12:19.918Z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