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Build log — 16 migrations, 21 tables, and what Supabase assumes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T-010 · Schema and migrations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Complete — 11 September 2026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log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996"/>
        <w:gridCol w:w="7364"/>
      </w:tblGrid>
      <w:tr>
        <w:trPr>
          <w:tblHeader/>
        </w:trPr>
        <w:tc>
          <w:tcPr>
            <w:tcW w:type="dxa" w:w="199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3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Task</w:t>
            </w:r>
          </w:p>
        </w:tc>
        <w:tc>
          <w:tcPr>
            <w:tcW w:type="dxa" w:w="73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T-010, BUILD_PLAN Phase 1 ⭐</w:t>
            </w:r>
          </w:p>
        </w:tc>
      </w:tr>
      <w:tr>
        <w:trPr>
          <w:tblHeader w:val="false"/>
        </w:trPr>
        <w:tc>
          <w:tcPr>
            <w:tcW w:type="dxa" w:w="19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</w:t>
            </w:r>
          </w:p>
        </w:tc>
        <w:tc>
          <w:tcPr>
            <w:tcW w:type="dxa" w:w="73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Complete — 11 September 2026</w:t>
            </w:r>
          </w:p>
        </w:tc>
      </w:tr>
      <w:tr>
        <w:trPr>
          <w:tblHeader w:val="false"/>
        </w:trPr>
        <w:tc>
          <w:tcPr>
            <w:tcW w:type="dxa" w:w="19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Branch</w:t>
            </w:r>
          </w:p>
        </w:tc>
        <w:tc>
          <w:tcPr>
            <w:tcW w:type="dxa" w:w="73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docs/decide-d4-d7</w:t>
            </w:r>
            <w:r>
              <w:rPr>
                <w:color w:val="13272F"/>
                <w:sz w:val="17"/>
                <w:szCs w:val="17"/>
              </w:rPr>
              <w:t xml:space="preserve"> (stacked on the decisions)</w:t>
            </w:r>
          </w:p>
        </w:tc>
      </w:tr>
      <w:tr>
        <w:trPr>
          <w:tblHeader w:val="false"/>
        </w:trPr>
        <w:tc>
          <w:tcPr>
            <w:tcW w:type="dxa" w:w="19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Estimated</w:t>
            </w:r>
          </w:p>
        </w:tc>
        <w:tc>
          <w:tcPr>
            <w:tcW w:type="dxa" w:w="73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days ·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actual: under a day</w:t>
            </w:r>
          </w:p>
        </w:tc>
      </w:tr>
      <w:tr>
        <w:trPr>
          <w:tblHeader w:val="false"/>
        </w:trPr>
        <w:tc>
          <w:tcPr>
            <w:tcW w:type="dxa" w:w="19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Specification</w:t>
            </w:r>
          </w:p>
        </w:tc>
        <w:tc>
          <w:tcPr>
            <w:tcW w:type="dxa" w:w="73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§4–7, §9.1</w:t>
            </w:r>
          </w:p>
        </w:tc>
      </w:tr>
      <w:tr>
        <w:trPr>
          <w:tblHeader w:val="false"/>
        </w:trPr>
        <w:tc>
          <w:tcPr>
            <w:tcW w:type="dxa" w:w="19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Behaviour change</w:t>
            </w:r>
          </w:p>
        </w:tc>
        <w:tc>
          <w:tcPr>
            <w:tcW w:type="dxa" w:w="73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None to the app — it does not read the database yet (T-012)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Summary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16 Alembic migrations creating **21 tables, 6 enum types, 11 triggers and 5 RLS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policies**, with a full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downgrade base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upgrade head</w:t>
      </w:r>
      <w:r>
        <w:rPr>
          <w:color w:val="13272F"/>
          <w:sz w:val="20"/>
          <w:szCs w:val="20"/>
        </w:rPr>
        <w:t xml:space="preserve"> round-trip verified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against a real PostgreSQL 16 container.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293 → 330 tests.</w:t>
      </w:r>
      <w:r>
        <w:rPr>
          <w:color w:val="13272F"/>
          <w:sz w:val="20"/>
          <w:szCs w:val="20"/>
        </w:rPr>
        <w:t xml:space="preserve"> 37 of them are database tests, and every one asserts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database </w:t>
      </w:r>
      <w:r>
        <w:rPr>
          <w:i/>
          <w:iCs/>
          <w:color w:val="13272F"/>
          <w:sz w:val="20"/>
          <w:szCs w:val="20"/>
        </w:rPr>
        <w:t xml:space="preserve">refuses</w:t>
      </w:r>
      <w:r>
        <w:rPr>
          <w:color w:val="13272F"/>
          <w:sz w:val="20"/>
          <w:szCs w:val="20"/>
        </w:rPr>
        <w:t xml:space="preserve"> something rather than that a constraint merely exists in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pg_constraint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that matter most: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Append-only is enforced by the database.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UPDATE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DELETE</w:t>
      </w:r>
      <w:r>
        <w:rPr>
          <w:color w:val="13272F"/>
          <w:sz w:val="20"/>
          <w:szCs w:val="20"/>
        </w:rPr>
        <w:t xml:space="preserve"> 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session_events</w:t>
      </w:r>
      <w:r>
        <w:rPr>
          <w:color w:val="13272F"/>
          <w:sz w:val="20"/>
          <w:szCs w:val="20"/>
        </w:rPr>
        <w:t xml:space="preserve"> raises. That is what makes property P3 true — *the event log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is the source of truth*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ADR-0003</w:t>
      </w:r>
      <w:r>
        <w:rPr>
          <w:color w:val="13272F"/>
          <w:sz w:val="20"/>
          <w:szCs w:val="20"/>
        </w:rPr>
        <w:t xml:space="preserve">) — rather than a promise about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application code.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Publishing without an approving clinical review is refused.</w:t>
      </w:r>
      <w:r>
        <w:rPr>
          <w:color w:val="13272F"/>
          <w:sz w:val="20"/>
          <w:szCs w:val="20"/>
        </w:rPr>
        <w:t xml:space="preserve"> Not by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admin console (T-023), by a trigger.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Definition of done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T-010 · Schema and migrations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T-005          Est  3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nidan/infra/db/models.py, migrations/versions/001..018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DATA_MODEL §4–7, §9.1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All 19 v1 tables created by migrations 001–018 in order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All constraints present incl. owner_is_exclusive,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one_published_version_per_case, one_active_sub_per_user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Append-only triggers on session_events and audit_log raise on UPDATE/DELETE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require_clinical_approval trigger blocks publishing without an approving review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`alembic downgrade base` then `upgrade head` succeeds on an empty database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testcontainers Postgres; one test per constraint asserting it actually rejects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888"/>
        <w:gridCol w:w="2503"/>
        <w:gridCol w:w="5969"/>
      </w:tblGrid>
      <w:tr>
        <w:trPr>
          <w:tblHeader/>
        </w:trPr>
        <w:tc>
          <w:tcPr>
            <w:tcW w:type="dxa" w:w="88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5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59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rPr>
          <w:tblHeader w:val="false"/>
        </w:trPr>
        <w:tc>
          <w:tcPr>
            <w:tcW w:type="dxa" w:w="8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  <w:tc>
          <w:tcPr>
            <w:tcW w:type="dxa" w:w="25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tables created in order</w:t>
            </w:r>
          </w:p>
        </w:tc>
        <w:tc>
          <w:tcPr>
            <w:tcW w:type="dxa" w:w="59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21 tables</w:t>
            </w:r>
            <w:r>
              <w:rPr>
                <w:color w:val="13272F"/>
                <w:sz w:val="17"/>
                <w:szCs w:val="17"/>
              </w:rPr>
              <w:t xml:space="preserve"> via 001–016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test_migrations.py</w:t>
            </w:r>
            <w:r>
              <w:rPr>
                <w:color w:val="13272F"/>
                <w:sz w:val="17"/>
                <w:szCs w:val="17"/>
              </w:rPr>
              <w:t xml:space="preserve"> compares against the spec list both ways</w:t>
            </w:r>
          </w:p>
        </w:tc>
      </w:tr>
      <w:tr>
        <w:trPr>
          <w:tblHeader w:val="false"/>
        </w:trPr>
        <w:tc>
          <w:tcPr>
            <w:tcW w:type="dxa" w:w="88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25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named constraints present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and rejecting</w:t>
            </w:r>
          </w:p>
        </w:tc>
        <w:tc>
          <w:tcPr>
            <w:tcW w:type="dxa" w:w="59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15 tests.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owner_is_exclusive</w:t>
            </w:r>
            <w:r>
              <w:rPr>
                <w:color w:val="13272F"/>
                <w:sz w:val="17"/>
                <w:szCs w:val="17"/>
              </w:rPr>
              <w:t xml:space="preserve"> CHECK; the other two are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partial unique indexes</w:t>
            </w:r>
            <w:r>
              <w:rPr>
                <w:color w:val="13272F"/>
                <w:sz w:val="17"/>
                <w:szCs w:val="17"/>
              </w:rPr>
              <w:t xml:space="preserve">, not constraints</w:t>
            </w:r>
          </w:p>
        </w:tc>
      </w:tr>
      <w:tr>
        <w:trPr>
          <w:tblHeader w:val="false"/>
        </w:trPr>
        <w:tc>
          <w:tcPr>
            <w:tcW w:type="dxa" w:w="8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25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append-only triggers raise</w:t>
            </w:r>
          </w:p>
        </w:tc>
        <w:tc>
          <w:tcPr>
            <w:tcW w:type="dxa" w:w="59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 tests — append allowed,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UPDATE</w:t>
            </w:r>
            <w:r>
              <w:rPr>
                <w:color w:val="13272F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DELETE</w:t>
            </w:r>
            <w:r>
              <w:rPr>
                <w:color w:val="13272F"/>
                <w:sz w:val="17"/>
                <w:szCs w:val="17"/>
              </w:rPr>
              <w:t xml:space="preserve"> refused, on both tables</w:t>
            </w:r>
          </w:p>
        </w:tc>
      </w:tr>
      <w:tr>
        <w:trPr>
          <w:tblHeader w:val="false"/>
        </w:trPr>
        <w:tc>
          <w:tcPr>
            <w:tcW w:type="dxa" w:w="88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25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publication gate blocks</w:t>
            </w:r>
          </w:p>
        </w:tc>
        <w:tc>
          <w:tcPr>
            <w:tcW w:type="dxa" w:w="59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tests, including that a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rejecting</w:t>
            </w:r>
            <w:r>
              <w:rPr>
                <w:color w:val="13272F"/>
                <w:sz w:val="17"/>
                <w:szCs w:val="17"/>
              </w:rPr>
              <w:t xml:space="preserve"> review does not permit publication</w:t>
            </w:r>
          </w:p>
        </w:tc>
      </w:tr>
      <w:tr>
        <w:trPr>
          <w:tblHeader w:val="false"/>
        </w:trPr>
        <w:tc>
          <w:tcPr>
            <w:tcW w:type="dxa" w:w="8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</w:t>
            </w:r>
          </w:p>
        </w:tc>
        <w:tc>
          <w:tcPr>
            <w:tcW w:type="dxa" w:w="25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downgrade → upgrade round-trip</w:t>
            </w:r>
          </w:p>
        </w:tc>
        <w:tc>
          <w:tcPr>
            <w:tcW w:type="dxa" w:w="59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verified; asserts no tables survive the teardown</w:t>
            </w:r>
          </w:p>
        </w:tc>
      </w:tr>
      <w:tr>
        <w:trPr>
          <w:tblHeader w:val="false"/>
        </w:trPr>
        <w:tc>
          <w:tcPr>
            <w:tcW w:type="dxa" w:w="88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25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RLS actually denies</w:t>
            </w:r>
          </w:p>
        </w:tc>
        <w:tc>
          <w:tcPr>
            <w:tcW w:type="dxa" w:w="59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 tests, run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as a non-superuser</w:t>
            </w:r>
            <w:r>
              <w:rPr>
                <w:color w:val="13272F"/>
                <w:sz w:val="17"/>
                <w:szCs w:val="17"/>
              </w:rPr>
              <w:t xml:space="preserve"> — see §5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Where we diverged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3.1 · Migrations 017–018 are not here.</w:t>
      </w:r>
      <w:r>
        <w:rPr>
          <w:color w:val="13272F"/>
          <w:sz w:val="20"/>
          <w:szCs w:val="20"/>
        </w:rPr>
        <w:t xml:space="preserve"> They are seed data — 27 examinations,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86 investigations, 40 topics, 523 phrases, and engine version 1.0.0 — which is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T-011's acceptance criteria verbatim</w:t>
      </w:r>
      <w:r>
        <w:rPr>
          <w:color w:val="13272F"/>
          <w:sz w:val="20"/>
          <w:szCs w:val="20"/>
        </w:rPr>
        <w:t xml:space="preserve">. T-010 creates the tables; T-011 fills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them. Criterion 1 names 001–018 because that is the full sequence in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§9.1, but rows are not tables.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3.2 · The spec defines 21 tables, not 19.</w:t>
      </w:r>
      <w:r>
        <w:rPr>
          <w:color w:val="13272F"/>
          <w:sz w:val="20"/>
          <w:szCs w:val="20"/>
        </w:rPr>
        <w:t xml:space="preserve"> Criterion 1 says "19 v1 tables".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Counting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§4–7 gives 21. All 21 are created, and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test_every_specified_table_exists</w:t>
      </w:r>
      <w:r>
        <w:rPr>
          <w:color w:val="13272F"/>
          <w:sz w:val="20"/>
          <w:szCs w:val="20"/>
        </w:rPr>
        <w:t xml:space="preserve"> asserts the set matches **in both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directions** — a table created but not specified fails too.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3.3 · `models.py` deliberately contains no table definitions.</w:t>
      </w:r>
      <w:r>
        <w:rPr>
          <w:color w:val="13272F"/>
          <w:sz w:val="20"/>
          <w:szCs w:val="20"/>
        </w:rPr>
        <w:t xml:space="preserve"> It holds the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MetaData</w:t>
      </w:r>
      <w:r>
        <w:rPr>
          <w:color w:val="13272F"/>
          <w:sz w:val="20"/>
          <w:szCs w:val="20"/>
        </w:rPr>
        <w:t xml:space="preserve"> that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migrations/env.py</w:t>
      </w:r>
      <w:r>
        <w:rPr>
          <w:color w:val="13272F"/>
          <w:sz w:val="20"/>
          <w:szCs w:val="20"/>
        </w:rPr>
        <w:t xml:space="preserve"> imports, and says why it is empty: defining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21 tables that nothing reads yet is 21 opportunities to disagree with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migrations. T-012 adds what the repository layer actually queries, and a drift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 earns its place then.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Two things Supabase provides that a container does not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is written against Supabase. Two of its assumptions do not exist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plain PostgreSQL, and without them **the schema cannot be migrated or tested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locally at all**.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4.1 · `auth.users`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profiles.id</w:t>
      </w:r>
      <w:r>
        <w:rPr>
          <w:color w:val="13272F"/>
          <w:sz w:val="20"/>
          <w:szCs w:val="20"/>
        </w:rPr>
        <w:t xml:space="preserve"> references it. Migration 001 creates a minimal stub with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CREATE TABLE IF NOT EXISTS</w:t>
      </w:r>
      <w:r>
        <w:rPr>
          <w:color w:val="13272F"/>
          <w:sz w:val="20"/>
          <w:szCs w:val="20"/>
        </w:rPr>
        <w:t xml:space="preserve">, so it is a no-op on real Supabase where the table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already exists and is far richer. It carries only what the foreign key needs.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4.2 · `auth.uid()` — the more important one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RLS policy in migration 016 is written against it. Without it, migration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016 fails outright.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is created </w:t>
      </w:r>
      <w:r>
        <w:rPr>
          <w:b/>
          <w:bCs/>
          <w:color w:val="13272F"/>
          <w:sz w:val="20"/>
          <w:szCs w:val="20"/>
        </w:rPr>
        <w:t xml:space="preserve">only if absent</w:t>
      </w:r>
      <w:r>
        <w:rPr>
          <w:color w:val="13272F"/>
          <w:sz w:val="20"/>
          <w:szCs w:val="20"/>
        </w:rPr>
        <w:t xml:space="preserve">, via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</w:t>
      </w:r>
      <w:r>
        <w:rPr>
          <w:color w:val="13272F"/>
          <w:sz w:val="20"/>
          <w:szCs w:val="20"/>
        </w:rPr>
        <w:t xml:space="preserve"> block — deliberately </w:t>
      </w:r>
      <w:r>
        <w:rPr>
          <w:i/>
          <w:iCs/>
          <w:color w:val="13272F"/>
          <w:sz w:val="20"/>
          <w:szCs w:val="20"/>
        </w:rPr>
        <w:t xml:space="preserve">not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CREATE OR REPLACE</w:t>
      </w:r>
      <w:r>
        <w:rPr>
          <w:color w:val="13272F"/>
          <w:sz w:val="20"/>
          <w:szCs w:val="20"/>
        </w:rPr>
        <w:t xml:space="preserve">, which on real Supabase would overwrite their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implementation with ours. That would be a security incident, not a convenience.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body matches Supabase's, reading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request.jwt.claim.sub</w:t>
      </w:r>
      <w:r>
        <w:rPr>
          <w:color w:val="13272F"/>
          <w:sz w:val="20"/>
          <w:szCs w:val="20"/>
        </w:rPr>
        <w:t xml:space="preserve">. **That is what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makes §5 possible**: RLS can be exercised locally by setting the claim. Without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it, the policies protecting every user's data would first be tested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production.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The RLS tests run as a non-superuser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Worth stating because it is the easiest way to write an RLS test that proves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nothing.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PostgreSQL exempts superusers and table owners from RLS.</w:t>
      </w:r>
      <w:r>
        <w:rPr>
          <w:color w:val="13272F"/>
          <w:sz w:val="20"/>
          <w:szCs w:val="20"/>
        </w:rPr>
        <w:t xml:space="preserve"> The migration user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owns every table, so tests run on that connection would see all rows, pass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happily, and demonstrate nothing.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tests/db/test_rls.py</w:t>
      </w:r>
      <w:r>
        <w:rPr>
          <w:color w:val="13272F"/>
          <w:sz w:val="20"/>
          <w:szCs w:val="20"/>
        </w:rPr>
        <w:t xml:space="preserve"> therefore creates a separate unprivileged role, grants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table access, and connects as that role. Only then does "another user's rows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are invisible" mean anything.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also tests the case that is easiest to get wrong: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session_events</w:t>
      </w:r>
      <w:r>
        <w:rPr>
          <w:color w:val="13272F"/>
          <w:sz w:val="20"/>
          <w:szCs w:val="20"/>
        </w:rPr>
        <w:t xml:space="preserve"> has no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user_id</w:t>
      </w:r>
      <w:r>
        <w:rPr>
          <w:color w:val="13272F"/>
          <w:sz w:val="20"/>
          <w:szCs w:val="20"/>
        </w:rPr>
        <w:t xml:space="preserve"> of its own, and its policy reaches through the parent session.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Problems hit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6.1 · `op.execute` reads `:0.2` in a comment as a bind parameter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InvalidRequestError: A value is required for bind parameter '0'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spec's DDL documents a JSONB shape in a comment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{"last10":0.2}</w:t>
      </w:r>
      <w:r>
        <w:rPr>
          <w:color w:val="13272F"/>
          <w:sz w:val="20"/>
          <w:szCs w:val="20"/>
        </w:rPr>
        <w:t xml:space="preserve"> —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SQLAlchemy's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op.execute</w:t>
      </w:r>
      <w:r>
        <w:rPr>
          <w:color w:val="13272F"/>
          <w:sz w:val="20"/>
          <w:szCs w:val="20"/>
        </w:rPr>
        <w:t xml:space="preserve"> treats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:0</w:t>
      </w:r>
      <w:r>
        <w:rPr>
          <w:color w:val="13272F"/>
          <w:sz w:val="20"/>
          <w:szCs w:val="20"/>
        </w:rPr>
        <w:t xml:space="preserve"> as a named parameter.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Fixed by using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op.get_bind().exec_driver_sql()</w:t>
      </w:r>
      <w:r>
        <w:rPr>
          <w:color w:val="13272F"/>
          <w:sz w:val="20"/>
          <w:szCs w:val="20"/>
        </w:rPr>
        <w:t xml:space="preserve">, which passes raw SQL to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driver uninterpreted. That is the right primitive for hand-written DDL anyway.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6.2 · …which then broke on `%`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psycopg.ProgrammingError: incomplete placeholder: '%'; if you want to use '%'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as an operator you can double it up, i.e. use '%%'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exec_driver_sql</w:t>
      </w:r>
      <w:r>
        <w:rPr>
          <w:color w:val="13272F"/>
          <w:sz w:val="20"/>
          <w:szCs w:val="20"/>
        </w:rPr>
        <w:t xml:space="preserve"> avoids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:</w:t>
      </w:r>
      <w:r>
        <w:rPr>
          <w:color w:val="13272F"/>
          <w:sz w:val="20"/>
          <w:szCs w:val="20"/>
        </w:rPr>
        <w:t xml:space="preserve">, and psycopg then reads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%</w:t>
      </w:r>
      <w:r>
        <w:rPr>
          <w:color w:val="13272F"/>
          <w:sz w:val="20"/>
          <w:szCs w:val="20"/>
        </w:rPr>
        <w:t xml:space="preserve"> as </w:t>
      </w:r>
      <w:r>
        <w:rPr>
          <w:i/>
          <w:iCs/>
          <w:color w:val="13272F"/>
          <w:sz w:val="20"/>
          <w:szCs w:val="20"/>
        </w:rPr>
        <w:t xml:space="preserve">its</w:t>
      </w:r>
      <w:r>
        <w:rPr>
          <w:color w:val="13272F"/>
          <w:sz w:val="20"/>
          <w:szCs w:val="20"/>
        </w:rPr>
        <w:t xml:space="preserve"> placeholder.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occurrences, both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RAISE EXCEPTION</w:t>
      </w:r>
      <w:r>
        <w:rPr>
          <w:color w:val="13272F"/>
          <w:sz w:val="20"/>
          <w:szCs w:val="20"/>
        </w:rPr>
        <w:t xml:space="preserve"> format specifiers. Doubled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%%</w:t>
      </w:r>
      <w:r>
        <w:rPr>
          <w:color w:val="13272F"/>
          <w:sz w:val="20"/>
          <w:szCs w:val="20"/>
        </w:rPr>
        <w:t xml:space="preserve">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which the driver unescapes, so the stored function bodies are unchanged.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pair is worth remembering: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op.execute</w:t>
      </w:r>
      <w:r>
        <w:rPr>
          <w:color w:val="13272F"/>
          <w:sz w:val="20"/>
          <w:szCs w:val="20"/>
        </w:rPr>
        <w:t xml:space="preserve"> chokes 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:</w:t>
      </w:r>
      <w:r>
        <w:rPr>
          <w:color w:val="13272F"/>
          <w:sz w:val="20"/>
          <w:szCs w:val="20"/>
        </w:rPr>
        <w:t xml:space="preserve">,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exec_driver_sql</w:t>
      </w:r>
      <w:r>
        <w:rPr>
          <w:color w:val="13272F"/>
          <w:sz w:val="20"/>
          <w:szCs w:val="20"/>
        </w:rPr>
        <w:t xml:space="preserve"> chokes 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%</w:t>
      </w:r>
      <w:r>
        <w:rPr>
          <w:color w:val="13272F"/>
          <w:sz w:val="20"/>
          <w:szCs w:val="20"/>
        </w:rPr>
        <w:t xml:space="preserve">, and hand-written DDL contains both.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6.3 · Test fixtures guessed column names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column "correct_diagnosis" of relation "case_versions" does not exist</w:t>
      </w:r>
      <w:r>
        <w:rPr>
          <w:color w:val="13272F"/>
          <w:sz w:val="20"/>
          <w:szCs w:val="20"/>
        </w:rPr>
        <w:t xml:space="preserve">. Fixed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by querying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information_schema</w:t>
      </w:r>
      <w:r>
        <w:rPr>
          <w:color w:val="13272F"/>
          <w:sz w:val="20"/>
          <w:szCs w:val="20"/>
        </w:rPr>
        <w:t xml:space="preserve"> for the NOT NULL columns without defaults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building the fixture from that, rather than from memory of the spec.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6.4 · The RLS tests silently leaked rows into every later test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subtlest one. RLS tests must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commit()</w:t>
      </w:r>
      <w:r>
        <w:rPr>
          <w:color w:val="13272F"/>
          <w:sz w:val="20"/>
          <w:szCs w:val="20"/>
        </w:rPr>
        <w:t xml:space="preserve"> so a second connection can see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their rows — which ends the transaction the fixture was relying on to roll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back.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surfaced only as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SAWarning: transaction already deassociated</w:t>
      </w:r>
      <w:r>
        <w:rPr>
          <w:color w:val="13272F"/>
          <w:sz w:val="20"/>
          <w:szCs w:val="20"/>
        </w:rPr>
        <w:t xml:space="preserve">. The tests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passed. But every row an RLS test created stayed in the database for the rest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session, and the eventual failure would have appeared in an unrelated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fixture now truncates when the transaction is gone and rolls back when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not. The check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conn.in_transaction()</w:t>
      </w:r>
      <w:r>
        <w:rPr>
          <w:color w:val="13272F"/>
          <w:sz w:val="20"/>
          <w:szCs w:val="20"/>
        </w:rPr>
        <w:t xml:space="preserve">, not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txn.is_active</w:t>
      </w:r>
      <w:r>
        <w:rPr>
          <w:color w:val="13272F"/>
          <w:sz w:val="20"/>
          <w:szCs w:val="20"/>
        </w:rPr>
        <w:t xml:space="preserve"> — after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commit the transaction object is deassociated but still reports itself active.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Verification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ruff                PASS      mypy (domain strict)   PASS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import-linter       PASS      gitleaks               PASS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             330 passed (was 293)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validation          51/54 = 94%, unchanged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tables   (21): audit_log, case_versions, cases, clinical_reviews, engine_versions,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examinations, feature_flags, feedback_texts, idempotency_keys,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investigations, leakage_flags, llm_calls, profiles, session_events,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session_results, sessions, subscriptions, topic_lexicon,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topic_phrases, user_case_history, user_progress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triggers (11): 2 append-only, 8 set_updated_at, 1 publication gate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policies ( 5): own_profile, own_sessions, own_session_events,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own_session_results, read_published_cases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new CI job, </w:t>
      </w:r>
      <w:r>
        <w:rPr>
          <w:b/>
          <w:bCs/>
          <w:color w:val="13272F"/>
          <w:sz w:val="20"/>
          <w:szCs w:val="20"/>
        </w:rPr>
        <w:t xml:space="preserve">Database schema</w:t>
      </w:r>
      <w:r>
        <w:rPr>
          <w:color w:val="13272F"/>
          <w:sz w:val="20"/>
          <w:szCs w:val="20"/>
        </w:rPr>
        <w:t xml:space="preserve">, runs these on every pull request.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What this changes for you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app does not use the database yet — T-012 builds the repository layer. But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schema is now real and you can look at it: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db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DATABASE_URL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postgresql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://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nidan_local_dev_only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@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localhost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5433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\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alembic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upgrade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head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exec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psql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\dt</w:t>
      </w:r>
      <w:r>
        <w:rPr>
          <w:color w:val="13272F"/>
          <w:sz w:val="20"/>
          <w:szCs w:val="20"/>
        </w:rPr>
        <w:t xml:space="preserve"> lists the tables,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\d sessions</w:t>
      </w:r>
      <w:r>
        <w:rPr>
          <w:color w:val="13272F"/>
          <w:sz w:val="20"/>
          <w:szCs w:val="20"/>
        </w:rPr>
        <w:t xml:space="preserve"> describes one,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\q</w:t>
      </w:r>
      <w:r>
        <w:rPr>
          <w:color w:val="13272F"/>
          <w:sz w:val="20"/>
          <w:szCs w:val="20"/>
        </w:rPr>
        <w:t xml:space="preserve"> quits.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Port 5433 on Vraj's machine</w:t>
      </w:r>
      <w:r>
        <w:rPr>
          <w:color w:val="13272F"/>
          <w:sz w:val="20"/>
          <w:szCs w:val="20"/>
        </w:rPr>
        <w:t xml:space="preserve">, 5432 elsewhere — see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commands worth knowing: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alembic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upgrade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head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apply everything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alembic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downgrade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base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tear it all down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 · Known debt left behind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828"/>
        <w:gridCol w:w="1532"/>
      </w:tblGrid>
      <w:tr>
        <w:trPr>
          <w:tblHeader/>
        </w:trPr>
        <w:tc>
          <w:tcPr>
            <w:tcW w:type="dxa" w:w="78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Debt</w:t>
            </w:r>
          </w:p>
        </w:tc>
        <w:tc>
          <w:tcPr>
            <w:tcW w:type="dxa" w:w="153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Closed by</w:t>
            </w:r>
          </w:p>
        </w:tc>
      </w:tr>
      <w:tr>
        <w:trPr>
          <w:tblHeader w:val="false"/>
        </w:trPr>
        <w:tc>
          <w:tcPr>
            <w:tcW w:type="dxa" w:w="78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`models.py` has no table definitions.</w:t>
            </w:r>
            <w:r>
              <w:rPr>
                <w:color w:val="13272F"/>
                <w:sz w:val="17"/>
                <w:szCs w:val="17"/>
              </w:rPr>
              <w:t xml:space="preserve"> Deliberate — see §3.3</w:t>
            </w:r>
          </w:p>
        </w:tc>
        <w:tc>
          <w:tcPr>
            <w:tcW w:type="dxa" w:w="15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T-012</w:t>
            </w:r>
          </w:p>
        </w:tc>
      </w:tr>
      <w:tr>
        <w:trPr>
          <w:tblHeader w:val="false"/>
        </w:trPr>
        <w:tc>
          <w:tcPr>
            <w:tcW w:type="dxa" w:w="78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seed content.</w:t>
            </w:r>
            <w:r>
              <w:rPr>
                <w:color w:val="13272F"/>
                <w:sz w:val="17"/>
                <w:szCs w:val="17"/>
              </w:rPr>
              <w:t xml:space="preserve"> The master lists and engine version are empty</w:t>
            </w:r>
          </w:p>
        </w:tc>
        <w:tc>
          <w:tcPr>
            <w:tcW w:type="dxa" w:w="153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T-011</w:t>
            </w:r>
          </w:p>
        </w:tc>
      </w:tr>
      <w:tr>
        <w:trPr>
          <w:tblHeader w:val="false"/>
        </w:trPr>
        <w:tc>
          <w:tcPr>
            <w:tcW w:type="dxa" w:w="78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`set_updated_at` triggers were not in the spec's DDL.</w:t>
            </w:r>
            <w:r>
              <w:rPr>
                <w:color w:val="13272F"/>
                <w:sz w:val="17"/>
                <w:szCs w:val="17"/>
              </w:rPr>
              <w:t xml:space="preserve"> §2.7 states the rule; the per-table wiring was added here.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should show it</w:t>
            </w:r>
          </w:p>
        </w:tc>
        <w:tc>
          <w:tcPr>
            <w:tcW w:type="dxa" w:w="15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unassigned, small</w:t>
            </w:r>
          </w:p>
        </w:tc>
      </w:tr>
      <w:tr>
        <w:trPr>
          <w:tblHeader w:val="false"/>
        </w:trPr>
        <w:tc>
          <w:tcPr>
            <w:tcW w:type="dxa" w:w="78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`auth` stubs are untested against real Supabase.</w:t>
            </w:r>
            <w:r>
              <w:rPr>
                <w:color w:val="1327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IF NOT EXISTS</w:t>
            </w:r>
            <w:r>
              <w:rPr>
                <w:color w:val="13272F"/>
                <w:sz w:val="17"/>
                <w:szCs w:val="17"/>
              </w:rPr>
              <w:t xml:space="preserve"> and the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</w:t>
            </w:r>
            <w:r>
              <w:rPr>
                <w:color w:val="13272F"/>
                <w:sz w:val="17"/>
                <w:szCs w:val="17"/>
              </w:rPr>
              <w:t xml:space="preserve"> guard are correct by inspection, not by observation</w:t>
            </w:r>
          </w:p>
        </w:tc>
        <w:tc>
          <w:tcPr>
            <w:tcW w:type="dxa" w:w="153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first Supabase deploy</w:t>
            </w:r>
          </w:p>
        </w:tc>
      </w:tr>
      <w:tr>
        <w:trPr>
          <w:tblHeader w:val="false"/>
        </w:trPr>
        <w:tc>
          <w:tcPr>
            <w:tcW w:type="dxa" w:w="78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index-usage verification.</w:t>
            </w:r>
            <w:r>
              <w:rPr>
                <w:color w:val="13272F"/>
                <w:sz w:val="17"/>
                <w:szCs w:val="17"/>
              </w:rPr>
              <w:t xml:space="preserve"> 29 indexes are created; nothing confirms a query plan uses them</w:t>
            </w:r>
          </w:p>
        </w:tc>
        <w:tc>
          <w:tcPr>
            <w:tcW w:type="dxa" w:w="15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5, or first slow query</w:t>
            </w:r>
          </w:p>
        </w:tc>
      </w:tr>
      <w:tr>
        <w:trPr>
          <w:tblHeader w:val="false"/>
        </w:trPr>
        <w:tc>
          <w:tcPr>
            <w:tcW w:type="dxa" w:w="78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`test_downgrade_to_base_then_upgrade_again` is marked `slow`</w:t>
            </w:r>
            <w:r>
              <w:rPr>
                <w:color w:val="13272F"/>
                <w:sz w:val="17"/>
                <w:szCs w:val="17"/>
              </w:rPr>
              <w:t xml:space="preserve"> but not excluded anywhere, so it runs every time. It is 2s; revisit if the suite slows</w:t>
            </w:r>
          </w:p>
        </w:tc>
        <w:tc>
          <w:tcPr>
            <w:tcW w:type="dxa" w:w="153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 · How to undo it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migrations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alembic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ini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infra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db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HEAD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pyproject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toml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requirements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github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workflows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ci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yml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\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yml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Nothing else depends on it yet.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 · Next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T-011 · Seed content and `openapi.yaml` skeleton</w:t>
      </w:r>
      <w:r>
        <w:rPr>
          <w:color w:val="13272F"/>
          <w:sz w:val="20"/>
          <w:szCs w:val="20"/>
        </w:rPr>
        <w:t xml:space="preserve"> (2 days) — migrations 017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018, seeding 27 examinations, 86 investigations, 40 topics and 523 phrases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from `cases.py`</w:t>
      </w:r>
      <w:r>
        <w:rPr>
          <w:color w:val="13272F"/>
          <w:sz w:val="20"/>
          <w:szCs w:val="20"/>
        </w:rPr>
        <w:t xml:space="preserve">, plus engine version 1.0.0.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marks it </w:t>
      </w:r>
      <w:r>
        <w:rPr>
          <w:b/>
          <w:bCs/>
          <w:color w:val="13272F"/>
          <w:sz w:val="20"/>
          <w:szCs w:val="20"/>
        </w:rPr>
        <w:t xml:space="preserve">sync point S-1</w:t>
      </w:r>
      <w:r>
        <w:rPr>
          <w:color w:val="13272F"/>
          <w:sz w:val="20"/>
          <w:szCs w:val="20"/>
        </w:rPr>
        <w:t xml:space="preserve">: it unblocks the frontend track,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note says </w:t>
      </w:r>
      <w:r>
        <w:rPr>
          <w:i/>
          <w:iCs/>
          <w:color w:val="13272F"/>
          <w:sz w:val="20"/>
          <w:szCs w:val="20"/>
        </w:rPr>
        <w:t xml:space="preserve">"do not let this slip."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Written 11 September 2026 · Vraj Patel (202301408) · Yogesh Bagotia (202301114)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2026-09-11T11:36:05.030Z</dcterms:created>
  <dcterms:modified xsi:type="dcterms:W3CDTF">2026-09-11T11:36:05.035Z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