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200"/>
      </w:pPr>
    </w:p>
    <w:p>
      <w:pPr>
        <w:spacing w:after="120"/>
      </w:pPr>
      <w:r>
        <w:rPr>
          <w:b/>
          <w:bCs/>
          <w:color w:val="B3651F"/>
          <w:spacing w:val="60"/>
          <w:sz w:val="19"/>
          <w:szCs w:val="19"/>
        </w:rPr>
        <w:t xml:space="preserve">Regenerated after the rename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13272F"/>
          <w:sz w:val="56"/>
          <w:szCs w:val="56"/>
        </w:rPr>
        <w:t xml:space="preserve">Rename plan — VPSim to Nidan</w:t>
      </w:r>
    </w:p>
    <w:p>
      <w:pPr>
        <w:spacing w:after="340"/>
      </w:pPr>
      <w:r>
        <w:rPr>
          <w:rFonts w:ascii="Georgia" w:cs="Georgia" w:eastAsia="Georgia" w:hAnsi="Georgia"/>
          <w:color w:val="1F7A8C"/>
          <w:sz w:val="24"/>
          <w:szCs w:val="24"/>
        </w:rPr>
        <w:t xml:space="preserve">Nidan — Bias-Aware Virtual Patient Simulator</w:t>
      </w:r>
    </w:p>
    <w:p>
      <w:pPr>
        <w:pBdr>
          <w:bottom w:val="single" w:color="B3651F" w:sz="12" w:space="6"/>
        </w:pBdr>
        <w:spacing w:after="420"/>
      </w:pPr>
      <w:r>
        <w:t xml:space="preserve"/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Authors       </w:t>
      </w:r>
      <w:r>
        <w:rPr>
          <w:color w:val="13272F"/>
          <w:sz w:val="21"/>
          <w:szCs w:val="21"/>
        </w:rPr>
        <w:t xml:space="preserve">Vraj Patel (202301408) · Yogesh Bagotia (202301114)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Mentor        </w:t>
      </w:r>
      <w:r>
        <w:rPr>
          <w:color w:val="13272F"/>
          <w:sz w:val="21"/>
          <w:szCs w:val="21"/>
        </w:rPr>
        <w:t xml:space="preserve">Abhishek Gupta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Institution   </w:t>
      </w:r>
      <w:r>
        <w:rPr>
          <w:color w:val="13272F"/>
          <w:sz w:val="21"/>
          <w:szCs w:val="21"/>
        </w:rPr>
        <w:t xml:space="preserve">DAU (Dhirubhai Ambani University), Gandhinagar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Status        </w:t>
      </w:r>
      <w:r>
        <w:rPr>
          <w:color w:val="13272F"/>
          <w:sz w:val="21"/>
          <w:szCs w:val="21"/>
        </w:rPr>
        <w:t xml:space="preserve">Complete — Phases A and B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Part of       </w:t>
      </w:r>
      <w:r>
        <w:rPr>
          <w:color w:val="13272F"/>
          <w:sz w:val="21"/>
          <w:szCs w:val="21"/>
        </w:rPr>
        <w:t xml:space="preserve">Nidan</w:t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4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Status: Phase A and Phase B both executed, 11 September 2026. The rename is complete.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D-8 was decided on 9 September 2026 (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PRD</w:t>
      </w:r>
      <w:r>
        <w:rPr>
          <w:color w:val="13272F"/>
          <w:sz w:val="20"/>
          <w:szCs w:val="20"/>
        </w:rPr>
        <w:t xml:space="preserve"> §11). This is the plan for making it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real in one deliberate change rather than letting the new name leak in gradually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while the old one persists in half the repository.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1 · The scope, measured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Not estimated — counted.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1030"/>
        <w:gridCol w:w="4896"/>
        <w:gridCol w:w="3434"/>
      </w:tblGrid>
      <w:tr>
        <w:trPr>
          <w:tblHeader/>
        </w:trPr>
        <w:tc>
          <w:tcPr>
            <w:tcW w:type="dxa" w:w="103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Where</w:t>
            </w:r>
          </w:p>
        </w:tc>
        <w:tc>
          <w:tcPr>
            <w:tcW w:type="dxa" w:w="4896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Occurrences</w:t>
            </w:r>
          </w:p>
        </w:tc>
        <w:tc>
          <w:tcPr>
            <w:tcW w:type="dxa" w:w="3434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Renaming it breaks something?</w:t>
            </w:r>
          </w:p>
        </w:tc>
      </w:tr>
      <w:tr>
        <w:trPr>
          <w:tblHeader w:val="false"/>
        </w:trPr>
        <w:tc>
          <w:tcPr>
            <w:tcW w:type="dxa" w:w="103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Python package `vpsim/`</w:t>
            </w:r>
          </w:p>
        </w:tc>
        <w:tc>
          <w:tcPr>
            <w:tcW w:type="dxa" w:w="489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37 files</w:t>
            </w:r>
          </w:p>
        </w:tc>
        <w:tc>
          <w:tcPr>
            <w:tcW w:type="dxa" w:w="343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Yes</w:t>
            </w:r>
            <w:r>
              <w:rPr>
                <w:color w:val="13272F"/>
                <w:sz w:val="17"/>
                <w:szCs w:val="17"/>
              </w:rPr>
              <w:t xml:space="preserve"> — every import, the console script, the coverage gate, the layering contract</w:t>
            </w:r>
          </w:p>
        </w:tc>
      </w:tr>
      <w:tr>
        <w:trPr>
          <w:tblHeader w:val="false"/>
        </w:trPr>
        <w:tc>
          <w:tcPr>
            <w:tcW w:type="dxa" w:w="103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pyproject.toml</w:t>
            </w:r>
          </w:p>
        </w:tc>
        <w:tc>
          <w:tcPr>
            <w:tcW w:type="dxa" w:w="489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11</w:t>
            </w:r>
          </w:p>
        </w:tc>
        <w:tc>
          <w:tcPr>
            <w:tcW w:type="dxa" w:w="343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Yes</w:t>
            </w:r>
            <w:r>
              <w:rPr>
                <w:color w:val="13272F"/>
                <w:sz w:val="17"/>
                <w:szCs w:val="17"/>
              </w:rPr>
              <w:t xml:space="preserve"> — package name, entry point,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--cov</w:t>
            </w:r>
            <w:r>
              <w:rPr>
                <w:color w:val="13272F"/>
                <w:sz w:val="17"/>
                <w:szCs w:val="17"/>
              </w:rPr>
              <w:t xml:space="preserve"> target, import-linter root</w:t>
            </w:r>
          </w:p>
        </w:tc>
      </w:tr>
      <w:tr>
        <w:trPr>
          <w:tblHeader w:val="false"/>
        </w:trPr>
        <w:tc>
          <w:tcPr>
            <w:tcW w:type="dxa" w:w="103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docker-compose.yml</w:t>
            </w:r>
          </w:p>
        </w:tc>
        <w:tc>
          <w:tcPr>
            <w:tcW w:type="dxa" w:w="489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10</w:t>
            </w:r>
          </w:p>
        </w:tc>
        <w:tc>
          <w:tcPr>
            <w:tcW w:type="dxa" w:w="343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Yes</w:t>
            </w:r>
            <w:r>
              <w:rPr>
                <w:color w:val="13272F"/>
                <w:sz w:val="17"/>
                <w:szCs w:val="17"/>
              </w:rPr>
              <w:t xml:space="preserve"> — container names, Postgres user/db,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DATABASE_URL</w:t>
            </w:r>
          </w:p>
        </w:tc>
      </w:tr>
      <w:tr>
        <w:trPr>
          <w:tblHeader w:val="false"/>
        </w:trPr>
        <w:tc>
          <w:tcPr>
            <w:tcW w:type="dxa" w:w="103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Dockerfile</w:t>
            </w:r>
          </w:p>
        </w:tc>
        <w:tc>
          <w:tcPr>
            <w:tcW w:type="dxa" w:w="489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8</w:t>
            </w:r>
          </w:p>
        </w:tc>
        <w:tc>
          <w:tcPr>
            <w:tcW w:type="dxa" w:w="343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Yes</w:t>
            </w:r>
            <w:r>
              <w:rPr>
                <w:color w:val="13272F"/>
                <w:sz w:val="17"/>
                <w:szCs w:val="17"/>
              </w:rPr>
              <w:t xml:space="preserve"> —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COPY</w:t>
            </w:r>
            <w:r>
              <w:rPr>
                <w:color w:val="13272F"/>
                <w:sz w:val="17"/>
                <w:szCs w:val="17"/>
              </w:rPr>
              <w:t xml:space="preserve">, the runtime user, the gunicorn target</w:t>
            </w:r>
          </w:p>
        </w:tc>
      </w:tr>
      <w:tr>
        <w:trPr>
          <w:tblHeader w:val="false"/>
        </w:trPr>
        <w:tc>
          <w:tcPr>
            <w:tcW w:type="dxa" w:w="103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.env.example</w:t>
            </w:r>
          </w:p>
        </w:tc>
        <w:tc>
          <w:tcPr>
            <w:tcW w:type="dxa" w:w="489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10</w:t>
            </w:r>
          </w:p>
        </w:tc>
        <w:tc>
          <w:tcPr>
            <w:tcW w:type="dxa" w:w="343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No — documentation of defaults</w:t>
            </w:r>
          </w:p>
        </w:tc>
      </w:tr>
      <w:tr>
        <w:trPr>
          <w:tblHeader w:val="false"/>
        </w:trPr>
        <w:tc>
          <w:tcPr>
            <w:tcW w:type="dxa" w:w="103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.github/workflows/ci.yml</w:t>
            </w:r>
          </w:p>
        </w:tc>
        <w:tc>
          <w:tcPr>
            <w:tcW w:type="dxa" w:w="489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</w:t>
            </w:r>
          </w:p>
        </w:tc>
        <w:tc>
          <w:tcPr>
            <w:tcW w:type="dxa" w:w="343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Minor — image tag</w:t>
            </w:r>
          </w:p>
        </w:tc>
      </w:tr>
      <w:tr>
        <w:trPr>
          <w:tblHeader w:val="false"/>
        </w:trPr>
        <w:tc>
          <w:tcPr>
            <w:tcW w:type="dxa" w:w="103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CLAUDE.md</w:t>
            </w:r>
          </w:p>
        </w:tc>
        <w:tc>
          <w:tcPr>
            <w:tcW w:type="dxa" w:w="489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</w:t>
            </w:r>
          </w:p>
        </w:tc>
        <w:tc>
          <w:tcPr>
            <w:tcW w:type="dxa" w:w="343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No</w:t>
            </w:r>
          </w:p>
        </w:tc>
      </w:tr>
      <w:tr>
        <w:trPr>
          <w:tblHeader w:val="false"/>
        </w:trPr>
        <w:tc>
          <w:tcPr>
            <w:tcW w:type="dxa" w:w="103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Markdown docs</w:t>
            </w:r>
          </w:p>
        </w:tc>
        <w:tc>
          <w:tcPr>
            <w:tcW w:type="dxa" w:w="489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48 across 15 files</w:t>
            </w:r>
            <w:r>
              <w:rPr>
                <w:color w:val="13272F"/>
                <w:sz w:val="17"/>
                <w:szCs w:val="17"/>
              </w:rPr>
              <w:t xml:space="preserve"> — </w:t>
            </w:r>
            <w:r>
              <w:rPr>
                <w:i/>
                <w:iCs/>
                <w:color w:val="13272F"/>
                <w:sz w:val="17"/>
                <w:szCs w:val="17"/>
              </w:rPr>
              <w:t xml:space="preserve">corrected; the original 259 was a case-insensitive count that swept in the package identifier</w:t>
            </w:r>
          </w:p>
        </w:tc>
        <w:tc>
          <w:tcPr>
            <w:tcW w:type="dxa" w:w="343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No</w:t>
            </w:r>
          </w:p>
        </w:tc>
      </w:tr>
      <w:tr>
        <w:trPr>
          <w:tblHeader w:val="false"/>
        </w:trPr>
        <w:tc>
          <w:tcPr>
            <w:tcW w:type="dxa" w:w="103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*</w:t>
            </w:r>
            <w:r>
              <w:rPr>
                <w:i/>
                <w:iCs/>
                <w:color w:val="13272F"/>
                <w:sz w:val="17"/>
                <w:szCs w:val="17"/>
              </w:rPr>
              <w:t xml:space="preserve">`.docx` files named `VPSim_</w:t>
            </w:r>
            <w:r>
              <w:rPr>
                <w:color w:val="13272F"/>
                <w:sz w:val="17"/>
                <w:szCs w:val="17"/>
              </w:rPr>
              <w:t xml:space="preserve">`**</w:t>
            </w:r>
          </w:p>
        </w:tc>
        <w:tc>
          <w:tcPr>
            <w:tcW w:type="dxa" w:w="489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25</w:t>
            </w:r>
          </w:p>
        </w:tc>
        <w:tc>
          <w:tcPr>
            <w:tcW w:type="dxa" w:w="343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No — regenerated anyway</w:t>
            </w:r>
          </w:p>
        </w:tc>
      </w:tr>
      <w:tr>
        <w:trPr>
          <w:tblHeader w:val="false"/>
        </w:trPr>
        <w:tc>
          <w:tcPr>
            <w:tcW w:type="dxa" w:w="103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GitHub repository name</w:t>
            </w:r>
          </w:p>
        </w:tc>
        <w:tc>
          <w:tcPr>
            <w:tcW w:type="dxa" w:w="489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  <w:tc>
          <w:tcPr>
            <w:tcW w:type="dxa" w:w="343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Yes for anyone who has cloned</w:t>
            </w:r>
          </w:p>
        </w:tc>
      </w:tr>
    </w:tbl>
    <w:p>
      <w:pPr>
        <w:spacing w:after="160"/>
      </w:pP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2 · The decision that shapes everything else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There are two different names here, and they do not have to change together.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5516"/>
        <w:gridCol w:w="3844"/>
      </w:tblGrid>
      <w:tr>
        <w:trPr>
          <w:tblHeader/>
        </w:trPr>
        <w:tc>
          <w:tcPr>
            <w:tcW w:type="dxa" w:w="5516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3844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51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The product</w:t>
            </w:r>
            <w:r>
              <w:rPr>
                <w:color w:val="13272F"/>
                <w:sz w:val="17"/>
                <w:szCs w:val="17"/>
              </w:rPr>
              <w:t xml:space="preserve"> — what users see</w:t>
            </w:r>
          </w:p>
        </w:tc>
        <w:tc>
          <w:tcPr>
            <w:tcW w:type="dxa" w:w="384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VPSim</w:t>
            </w:r>
            <w:r>
              <w:rPr>
                <w:color w:val="13272F"/>
                <w:sz w:val="17"/>
                <w:szCs w:val="17"/>
              </w:rPr>
              <w:t xml:space="preserve"> →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Nidan</w:t>
            </w:r>
          </w:p>
        </w:tc>
      </w:tr>
      <w:tr>
        <w:trPr>
          <w:tblHeader w:val="false"/>
        </w:trPr>
        <w:tc>
          <w:tcPr>
            <w:tcW w:type="dxa" w:w="551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The Python package</w:t>
            </w:r>
            <w:r>
              <w:rPr>
                <w:color w:val="13272F"/>
                <w:sz w:val="17"/>
                <w:szCs w:val="17"/>
              </w:rPr>
              <w:t xml:space="preserve"> —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import vpsim</w:t>
            </w:r>
          </w:p>
        </w:tc>
        <w:tc>
          <w:tcPr>
            <w:tcW w:type="dxa" w:w="384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vpsim</w:t>
            </w:r>
            <w:r>
              <w:rPr>
                <w:color w:val="13272F"/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nidan</w:t>
            </w:r>
            <w:r>
              <w:rPr>
                <w:color w:val="13272F"/>
                <w:sz w:val="17"/>
                <w:szCs w:val="17"/>
              </w:rPr>
              <w:t xml:space="preserve">? </w:t>
            </w:r>
            <w:r>
              <w:rPr>
                <w:i/>
                <w:iCs/>
                <w:color w:val="13272F"/>
                <w:sz w:val="17"/>
                <w:szCs w:val="17"/>
              </w:rPr>
              <w:t xml:space="preserve">Optional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package identifier is internal. No user ever sees it. Renaming it touches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37 files, the Docker user, the database name, the coverage configuration and the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layering contract — and every one of those is a chance to break a build for zero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user-visible benefit.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Recommendation: rename the product now, rename the package later — or never.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Precedent is on that side. Facebook's internal codebase kept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thefacebook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references for years. What matters is that the </w:t>
      </w:r>
      <w:r>
        <w:rPr>
          <w:i/>
          <w:iCs/>
          <w:color w:val="13272F"/>
          <w:sz w:val="20"/>
          <w:szCs w:val="20"/>
        </w:rPr>
        <w:t xml:space="preserve">product</w:t>
      </w:r>
      <w:r>
        <w:rPr>
          <w:color w:val="13272F"/>
          <w:sz w:val="20"/>
          <w:szCs w:val="20"/>
        </w:rPr>
        <w:t xml:space="preserve"> is consistently Nidan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everywhere a human reads it.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If the package is renamed, do it as its own task, on its own branch, verified by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full CI suite — never bundled with a documentation change.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3 · Phase A — the product name — ✅ DONE (11 September 2026)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**Actual effort: under an hour. 36 replacements across 13 files, 26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.docx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regenerated.** Smaller than planned, because the 259 figure was wrong (§1).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Domains were deliberately </w:t>
      </w:r>
      <w:r>
        <w:rPr>
          <w:b/>
          <w:bCs/>
          <w:color w:val="13272F"/>
          <w:sz w:val="20"/>
          <w:szCs w:val="20"/>
        </w:rPr>
        <w:t xml:space="preserve">not</w:t>
      </w:r>
      <w:r>
        <w:rPr>
          <w:color w:val="13272F"/>
          <w:sz w:val="20"/>
          <w:szCs w:val="20"/>
        </w:rPr>
        <w:t xml:space="preserve"> secured first, against the advice in A1. The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name was already public in a pushed commit by then, so delaying the rename no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longer reduced the squatting risk — it only delayed the work. **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nidan.app</w:t>
      </w:r>
      <w:r>
        <w:rPr>
          <w:color w:val="13272F"/>
          <w:sz w:val="20"/>
          <w:szCs w:val="20"/>
        </w:rPr>
        <w:t xml:space="preserve"> is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still unbought.**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Two user-facing strings in the code were changed as well as the documentation,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because a configuration error and a start-up banner are read by humans: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* Nidan running on http://127.0.0.1:8000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Nidan cannot start — configuration is invalid: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All six CI checks passed after the change.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A1 · Secure the domains before anything is public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nidan.app        the product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nidan.md         memorable, and reads as "MD"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nidan.health     optional, defensive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Do this first.</w:t>
      </w:r>
      <w:r>
        <w:rPr>
          <w:color w:val="13272F"/>
          <w:sz w:val="20"/>
          <w:szCs w:val="20"/>
        </w:rPr>
        <w:t xml:space="preserve"> The moment the name appears in a public repository, a public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PR title or a conversation outside the team, it is discoverable. Domains are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cheap; a name you cannot use is not.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Also check, in the same sitting: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Trademark</w:t>
      </w:r>
      <w:r>
        <w:rPr>
          <w:color w:val="13272F"/>
          <w:sz w:val="20"/>
          <w:szCs w:val="20"/>
        </w:rPr>
        <w:t xml:space="preserve"> — a search in your launch jurisdiction. I cannot do this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App Store</w:t>
      </w:r>
      <w:r>
        <w:rPr>
          <w:color w:val="13272F"/>
          <w:sz w:val="20"/>
          <w:szCs w:val="20"/>
        </w:rPr>
        <w:t xml:space="preserve"> — is there an app called Nidan already?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Social handles</w:t>
      </w:r>
      <w:r>
        <w:rPr>
          <w:color w:val="13272F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@nidan</w:t>
      </w:r>
      <w:r>
        <w:rPr>
          <w:color w:val="13272F"/>
          <w:sz w:val="20"/>
          <w:szCs w:val="20"/>
        </w:rPr>
        <w:t xml:space="preserve"> or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@nidanapp</w:t>
      </w:r>
      <w:r>
        <w:rPr>
          <w:color w:val="13272F"/>
          <w:sz w:val="20"/>
          <w:szCs w:val="20"/>
        </w:rPr>
        <w:t xml:space="preserve"> on the platforms you would use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A2 · Documentation and user-facing text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259 occurrences, 22 files. Mechanical, but </w:t>
      </w:r>
      <w:r>
        <w:rPr>
          <w:b/>
          <w:bCs/>
          <w:color w:val="13272F"/>
          <w:sz w:val="20"/>
          <w:szCs w:val="20"/>
        </w:rPr>
        <w:t xml:space="preserve">not</w:t>
      </w:r>
      <w:r>
        <w:rPr>
          <w:color w:val="13272F"/>
          <w:sz w:val="20"/>
          <w:szCs w:val="20"/>
        </w:rPr>
        <w:t xml:space="preserve"> a blind find-and-replace: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VPSim</w:t>
      </w:r>
      <w:r>
        <w:rPr>
          <w:color w:val="13272F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Nidan</w:t>
      </w:r>
      <w:r>
        <w:rPr>
          <w:color w:val="13272F"/>
          <w:sz w:val="20"/>
          <w:szCs w:val="20"/>
        </w:rPr>
        <w:t xml:space="preserve"> — the product name in prose, titles, headers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vpsim/</w:t>
      </w:r>
      <w:r>
        <w:rPr>
          <w:color w:val="13272F"/>
          <w:sz w:val="20"/>
          <w:szCs w:val="20"/>
        </w:rPr>
        <w:t xml:space="preserve"> → leave alone — that is the package path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vpsim.app:app</w:t>
      </w:r>
      <w:r>
        <w:rPr>
          <w:color w:val="13272F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import vpsim</w:t>
      </w:r>
      <w:r>
        <w:rPr>
          <w:color w:val="13272F"/>
          <w:sz w:val="20"/>
          <w:szCs w:val="20"/>
        </w:rPr>
        <w:t xml:space="preserve"> → leave alone — those are code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VPSim_*.docx</w:t>
      </w:r>
      <w:r>
        <w:rPr>
          <w:color w:val="13272F"/>
          <w:sz w:val="20"/>
          <w:szCs w:val="20"/>
        </w:rPr>
        <w:t xml:space="preserve"> → regenerate as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Nidan_*.docx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build logs are a special case. **T-001 to T-007 describe work done under the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old name.** Rewriting them would make the record inaccurate — they would claim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to have built "Nidan" before Nidan existed. Add a one-line note at the top of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docs/build-log/README.md</w:t>
      </w:r>
      <w:r>
        <w:rPr>
          <w:color w:val="13272F"/>
          <w:sz w:val="20"/>
          <w:szCs w:val="20"/>
        </w:rPr>
        <w:t xml:space="preserve"> saying the product was renamed on 9 September 2026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and earlier logs use the working title, then leave their contents alone.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A3 · Regenerate the 25 `.docx` files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docs/spec/md2docx.js</w:t>
      </w:r>
      <w:r>
        <w:rPr>
          <w:color w:val="13272F"/>
          <w:sz w:val="20"/>
          <w:szCs w:val="20"/>
        </w:rPr>
        <w:t xml:space="preserve"> takes the title as an argument, so this is a loop, not 25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manual edits.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A4 · The GitHub repository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A-bias-aware-vp-simulator</w:t>
      </w:r>
      <w:r>
        <w:rPr>
          <w:color w:val="13272F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nidan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GitHub redirects the old URL, so existing clones keep working. But anyone with a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clone should still run: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git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remote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set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url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origin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https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://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github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com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VrajPatel2611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nidan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git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Do this </w:t>
      </w:r>
      <w:r>
        <w:rPr>
          <w:b/>
          <w:bCs/>
          <w:color w:val="13272F"/>
          <w:sz w:val="20"/>
          <w:szCs w:val="20"/>
        </w:rPr>
        <w:t xml:space="preserve">after</w:t>
      </w:r>
      <w:r>
        <w:rPr>
          <w:color w:val="13272F"/>
          <w:sz w:val="20"/>
          <w:szCs w:val="20"/>
        </w:rPr>
        <w:t xml:space="preserve"> the documentation change is merged, so the repository is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already internally consistent when its name changes.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4 · Phase B — the package — ✅ DONE (11 September 2026)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Actual effort: under an hour. Risk turned out low</w:t>
      </w:r>
      <w:r>
        <w:rPr>
          <w:color w:val="13272F"/>
          <w:sz w:val="20"/>
          <w:szCs w:val="20"/>
        </w:rPr>
        <w:t xml:space="preserve">, because the test suite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made it verifiable: 293 tests, the layering contract, mypy strict and the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detector gate all had to agree before it could be called finished.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Done immediately after Phase A rather than "later, or never" as this document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originally recommended. The reason for the change of mind is in §4.1.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Only if you decide it matters. The order is load-bearing: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git mv vpsim nidan</w:t>
      </w:r>
      <w:r>
        <w:rPr>
          <w:color w:val="13272F"/>
          <w:sz w:val="20"/>
          <w:szCs w:val="20"/>
        </w:rPr>
        <w:t xml:space="preserve"> — preserves history, as in T-001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color w:val="13272F"/>
          <w:sz w:val="20"/>
          <w:szCs w:val="20"/>
        </w:rPr>
        <w:t xml:space="preserve">Rewrite imports across 37 files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pyproject.toml</w:t>
      </w:r>
      <w:r>
        <w:rPr>
          <w:color w:val="13272F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name</w:t>
      </w:r>
      <w:r>
        <w:rPr>
          <w:color w:val="13272F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[project.scripts]</w:t>
      </w:r>
      <w:r>
        <w:rPr>
          <w:color w:val="13272F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packages.find</w:t>
      </w:r>
      <w:r>
        <w:rPr>
          <w:color w:val="13272F"/>
          <w:sz w:val="20"/>
          <w:szCs w:val="20"/>
        </w:rPr>
        <w:t xml:space="preserve">,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  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package-data</w:t>
      </w:r>
      <w:r>
        <w:rPr>
          <w:color w:val="13272F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--cov=nidan.domain</w:t>
      </w:r>
      <w:r>
        <w:rPr>
          <w:color w:val="13272F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importlinter.root_package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tests/test_layering.py</w:t>
      </w:r>
      <w:r>
        <w:rPr>
          <w:color w:val="13272F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tests/test_no_network.py</w:t>
      </w:r>
      <w:r>
        <w:rPr>
          <w:color w:val="13272F"/>
          <w:sz w:val="20"/>
          <w:szCs w:val="20"/>
        </w:rPr>
        <w:t xml:space="preserve"> — both hard-code the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   package path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Dockerfile</w:t>
      </w:r>
      <w:r>
        <w:rPr>
          <w:color w:val="13272F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COPY</w:t>
      </w:r>
      <w:r>
        <w:rPr>
          <w:color w:val="13272F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useradd</w:t>
      </w:r>
      <w:r>
        <w:rPr>
          <w:color w:val="13272F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gunicorn nidan.app:app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docker-compose.yml</w:t>
      </w:r>
      <w:r>
        <w:rPr>
          <w:color w:val="13272F"/>
          <w:sz w:val="20"/>
          <w:szCs w:val="20"/>
        </w:rPr>
        <w:t xml:space="preserve"> — container names, Postgres user and database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python -m nidan</w:t>
      </w:r>
      <w:r>
        <w:rPr>
          <w:color w:val="13272F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pip install -e ".[dev]"</w:t>
      </w:r>
      <w:r>
        <w:rPr>
          <w:color w:val="13272F"/>
          <w:sz w:val="20"/>
          <w:szCs w:val="20"/>
        </w:rPr>
        <w:t xml:space="preserve">, full CI green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4.1 · Why it was done now rather than never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Python package rename has </w:t>
      </w:r>
      <w:r>
        <w:rPr>
          <w:b/>
          <w:bCs/>
          <w:color w:val="13272F"/>
          <w:sz w:val="20"/>
          <w:szCs w:val="20"/>
        </w:rPr>
        <w:t xml:space="preserve">no deadline</w:t>
      </w:r>
      <w:r>
        <w:rPr>
          <w:color w:val="13272F"/>
          <w:sz w:val="20"/>
          <w:szCs w:val="20"/>
        </w:rPr>
        <w:t xml:space="preserve"> — renaming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import nidan</w:t>
      </w:r>
      <w:r>
        <w:rPr>
          <w:color w:val="13272F"/>
          <w:sz w:val="20"/>
          <w:szCs w:val="20"/>
        </w:rPr>
        <w:t xml:space="preserve"> in 2030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would cost exactly what it cost today. But the database name does: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Changing `POSTGRES_DB` orphans existing local volumes.</w:t>
      </w:r>
      <w:r>
        <w:rPr>
          <w:color w:val="13272F"/>
          <w:sz w:val="20"/>
          <w:szCs w:val="20"/>
        </w:rPr>
        <w:t xml:space="preserve"> Anyone with a running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stack needs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docker compose down -v</w:t>
      </w:r>
      <w:r>
        <w:rPr>
          <w:color w:val="13272F"/>
          <w:sz w:val="20"/>
          <w:szCs w:val="20"/>
        </w:rPr>
        <w:t xml:space="preserve">, which </w:t>
      </w:r>
      <w:r>
        <w:rPr>
          <w:b/>
          <w:bCs/>
          <w:color w:val="13272F"/>
          <w:sz w:val="20"/>
          <w:szCs w:val="20"/>
        </w:rPr>
        <w:t xml:space="preserve">deletes their local data</w:t>
      </w:r>
      <w:r>
        <w:rPr>
          <w:color w:val="13272F"/>
          <w:sz w:val="20"/>
          <w:szCs w:val="20"/>
        </w:rPr>
        <w:t xml:space="preserve">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Harmless on 11 September, because nothing uses the database yet. After T-010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creates the schema and T-018 imports the pilot sessions, it becomes a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dump-and-restore. After launch it is a production migration with downtime.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So the choice was: do it while it is free, or accept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vpsim</w:t>
      </w:r>
      <w:r>
        <w:rPr>
          <w:color w:val="13272F"/>
          <w:sz w:val="20"/>
          <w:szCs w:val="20"/>
        </w:rPr>
        <w:t xml:space="preserve"> permanently.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What made it safe:</w:t>
      </w:r>
      <w:r>
        <w:rPr>
          <w:color w:val="13272F"/>
          <w:sz w:val="20"/>
          <w:szCs w:val="20"/>
        </w:rPr>
        <w:t xml:space="preserve"> 293 tests, an import-linter contract, mypy strict on the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domain layer, a Docker build in CI and a detector-accuracy gate. A mechanical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rename against that much verification is a low-risk change. It would not have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been in a codebase without them — which is Phase 0's return on investment,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collected.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4.2 · What actually changed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git mv vpsim nidan                34 files, renames detected by git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imports rewritten                 37 python files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pyproject.toml                    name, console script, --cov target,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              package-data, import-linter root_package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Dockerfile                        COPY, runtime user, gunicorn target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docker-compose.yml                container names, POSTGRES_USER,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              POSTGRES_DB, DATABASE_URL, dev password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docs                              TECH_SPEC, TEST_STRATEGY, BUILD_PLAN,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              COMMANDS, WINDOWS_SETUP, PROJECT_MAP,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              BRANCH_PROTECTION, .gitleaks.toml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Two things that needed a human, not a regex: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\bvpsim\b</w:t>
      </w:r>
      <w:r>
        <w:rPr>
          <w:color w:val="13272F"/>
          <w:sz w:val="20"/>
          <w:szCs w:val="20"/>
        </w:rPr>
        <w:t xml:space="preserve"> does not match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vpsim_local_dev_only</w:t>
      </w:r>
      <w:r>
        <w:rPr>
          <w:color w:val="13272F"/>
          <w:sz w:val="20"/>
          <w:szCs w:val="20"/>
        </w:rPr>
        <w:t xml:space="preserve">, because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_</w:t>
      </w:r>
      <w:r>
        <w:rPr>
          <w:color w:val="13272F"/>
          <w:sz w:val="20"/>
          <w:szCs w:val="20"/>
        </w:rPr>
        <w:t xml:space="preserve"> is a word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character. The dev database password kept the old name until it was caught by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reading the output rather than trusting the count.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Import ordering changed.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nidan</w:t>
      </w:r>
      <w:r>
        <w:rPr>
          <w:color w:val="13272F"/>
          <w:sz w:val="20"/>
          <w:szCs w:val="20"/>
        </w:rPr>
        <w:t xml:space="preserve"> sorts before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tests</w:t>
      </w:r>
      <w:r>
        <w:rPr>
          <w:color w:val="13272F"/>
          <w:sz w:val="20"/>
          <w:szCs w:val="20"/>
        </w:rPr>
        <w:t xml:space="preserve">, where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vpsim</w:t>
      </w:r>
      <w:r>
        <w:rPr>
          <w:color w:val="13272F"/>
          <w:sz w:val="20"/>
          <w:szCs w:val="20"/>
        </w:rPr>
        <w:t xml:space="preserve"> sorted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after, so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ruff</w:t>
      </w:r>
      <w:r>
        <w:rPr>
          <w:color w:val="13272F"/>
          <w:sz w:val="20"/>
          <w:szCs w:val="20"/>
        </w:rPr>
        <w:t xml:space="preserve"> failed on block ordering until it was re-sorted.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4.3 · What anyone with a running stack must do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docker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compose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down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v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 </w:t>
      </w:r>
      <w:r>
        <w:rPr>
          <w:rFonts w:ascii="Consolas" w:cs="Consolas" w:eastAsia="Consolas" w:hAnsi="Consolas"/>
          <w:i/>
          <w:iCs/>
          <w:color w:val="6A8A94"/>
          <w:sz w:val="16"/>
          <w:szCs w:val="16"/>
        </w:rPr>
        <w:t xml:space="preserve"># the volume points at a database called vpsim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pip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install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".[dev]"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</w:t>
      </w:r>
      <w:r>
        <w:rPr>
          <w:rFonts w:ascii="Consolas" w:cs="Consolas" w:eastAsia="Consolas" w:hAnsi="Consolas"/>
          <w:i/>
          <w:iCs/>
          <w:color w:val="6A8A94"/>
          <w:sz w:val="16"/>
          <w:szCs w:val="16"/>
        </w:rPr>
        <w:t xml:space="preserve"># the editable install points at the old name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docker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compose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up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build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-v</w:t>
      </w:r>
      <w:r>
        <w:rPr>
          <w:color w:val="13272F"/>
          <w:sz w:val="20"/>
          <w:szCs w:val="20"/>
        </w:rPr>
        <w:t xml:space="preserve"> is required. Without it Postgres keeps the old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vpsim</w:t>
      </w:r>
      <w:r>
        <w:rPr>
          <w:color w:val="13272F"/>
          <w:sz w:val="20"/>
          <w:szCs w:val="20"/>
        </w:rPr>
        <w:t xml:space="preserve"> database and the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app connects to a database that does not exist.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5 · Order of operations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1. Secure nidan.app and nidan.md                     ← do this today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2. Trademark and App Store check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3. Phase A — docs, .docx, CLAUDE.md          one PR, low risk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4. Rename the GitHub repository              after (3) merges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5. Phase B — the package                     separate PR, or never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Steps 3 and 5 must not share a pull request. One is a documentation change that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cannot break the build; the other touches the import graph, the container and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database. Reviewing them together means reviewing neither.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6 · What stays "VPSim" permanently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Worth stating so nobody "fixes" these later: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The research paper</w:t>
      </w:r>
      <w:r>
        <w:rPr>
          <w:color w:val="13272F"/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report/main.tex</w:t>
      </w:r>
      <w:r>
        <w:rPr>
          <w:color w:val="13272F"/>
          <w:sz w:val="20"/>
          <w:szCs w:val="20"/>
        </w:rPr>
        <w:t xml:space="preserve">) and its results — it was published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  under that name. Changing it retrospectively misrepresents the record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The 16 pilot session files</w:t>
      </w:r>
      <w:r>
        <w:rPr>
          <w:color w:val="13272F"/>
          <w:sz w:val="20"/>
          <w:szCs w:val="20"/>
        </w:rPr>
        <w:t xml:space="preserve"> — data collected under the old name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Build logs T-001 to T-007</w:t>
      </w:r>
      <w:r>
        <w:rPr>
          <w:color w:val="13272F"/>
          <w:sz w:val="20"/>
          <w:szCs w:val="20"/>
        </w:rPr>
        <w:t xml:space="preserve"> — see A2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Git history</w:t>
      </w:r>
      <w:r>
        <w:rPr>
          <w:color w:val="13272F"/>
          <w:sz w:val="20"/>
          <w:szCs w:val="20"/>
        </w:rPr>
        <w:t xml:space="preserve"> — commit messages are immutable and should stay that way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7 · Not yet decided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`nidan.health`</w:t>
      </w:r>
      <w:r>
        <w:rPr>
          <w:color w:val="13272F"/>
          <w:sz w:val="20"/>
          <w:szCs w:val="20"/>
        </w:rPr>
        <w:t xml:space="preserve"> — buy defensively or not?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Package rename</w:t>
      </w:r>
      <w:r>
        <w:rPr>
          <w:color w:val="13272F"/>
          <w:sz w:val="20"/>
          <w:szCs w:val="20"/>
        </w:rPr>
        <w:t xml:space="preserve"> — Phase B, yes or no?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Tagline.</w:t>
      </w:r>
      <w:r>
        <w:rPr>
          <w:color w:val="13272F"/>
          <w:sz w:val="20"/>
          <w:szCs w:val="20"/>
        </w:rPr>
        <w:t xml:space="preserve"> Nidan means </w:t>
      </w:r>
      <w:r>
        <w:rPr>
          <w:i/>
          <w:iCs/>
          <w:color w:val="13272F"/>
          <w:sz w:val="20"/>
          <w:szCs w:val="20"/>
        </w:rPr>
        <w:t xml:space="preserve">diagnosis</w:t>
      </w:r>
      <w:r>
        <w:rPr>
          <w:color w:val="13272F"/>
          <w:sz w:val="20"/>
          <w:szCs w:val="20"/>
        </w:rPr>
        <w:t xml:space="preserve">, which describes the subject rather than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  the product. Something is needed alongside it — </w:t>
      </w:r>
      <w:r>
        <w:rPr>
          <w:i/>
          <w:iCs/>
          <w:color w:val="13272F"/>
          <w:sz w:val="20"/>
          <w:szCs w:val="20"/>
        </w:rPr>
        <w:t xml:space="preserve">"practise how you think"</w:t>
      </w:r>
      <w:r>
        <w:rPr>
          <w:color w:val="13272F"/>
          <w:sz w:val="20"/>
          <w:szCs w:val="20"/>
        </w:rPr>
        <w:t xml:space="preserve"> is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  the idea, not the wording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Wordmark</w:t>
      </w:r>
      <w:r>
        <w:rPr>
          <w:color w:val="13272F"/>
          <w:sz w:val="20"/>
          <w:szCs w:val="20"/>
        </w:rPr>
        <w:t xml:space="preserve"> — lowercase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nidan</w:t>
      </w:r>
      <w:r>
        <w:rPr>
          <w:color w:val="13272F"/>
          <w:sz w:val="20"/>
          <w:szCs w:val="20"/>
        </w:rPr>
        <w:t xml:space="preserve"> sets cleanly: five letters, two syllables,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  no ascender/descender collisions. Worth trying before committing to a logo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3272F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Nidan — System Design &amp; Engineering Specification</dc:title>
  <dc:creator>Vraj Patel, Yogesh Bagotia</dc:creator>
  <cp:lastModifiedBy>Un-named</cp:lastModifiedBy>
  <cp:revision>1</cp:revision>
  <dcterms:created xsi:type="dcterms:W3CDTF">2026-09-11T05:26:56.328Z</dcterms:created>
  <dcterms:modified xsi:type="dcterms:W3CDTF">2026-09-11T05:26:56.334Z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