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Regenerated after the rename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Technical Specification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Nidan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Document control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84"/>
        <w:gridCol w:w="7976"/>
      </w:tblGrid>
      <w:tr>
        <w:trPr>
          <w:tblHeader/>
        </w:trPr>
        <w:tc>
          <w:tcPr>
            <w:tcW w:type="dxa" w:w="13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7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3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Document</w:t>
            </w:r>
          </w:p>
        </w:tc>
        <w:tc>
          <w:tcPr>
            <w:tcW w:type="dxa" w:w="79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Nidan Technical Specification</w:t>
            </w:r>
          </w:p>
        </w:tc>
      </w:tr>
      <w:tr>
        <w:trPr>
          <w:tblHeader w:val="false"/>
        </w:trPr>
        <w:tc>
          <w:tcPr>
            <w:tcW w:type="dxa" w:w="13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Version</w:t>
            </w:r>
          </w:p>
        </w:tc>
        <w:tc>
          <w:tcPr>
            <w:tcW w:type="dxa" w:w="79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13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9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Draft — consolidates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design/SYSTEM_DESIGN.md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design/PLATFORM_SPEC.md</w:t>
            </w:r>
          </w:p>
        </w:tc>
      </w:tr>
      <w:tr>
        <w:trPr>
          <w:tblHeader w:val="false"/>
        </w:trPr>
        <w:tc>
          <w:tcPr>
            <w:tcW w:type="dxa" w:w="13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Owners</w:t>
            </w:r>
          </w:p>
        </w:tc>
        <w:tc>
          <w:tcPr>
            <w:tcW w:type="dxa" w:w="79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Scope and boundaries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document describes </w:t>
      </w:r>
      <w:r>
        <w:rPr>
          <w:b/>
          <w:bCs/>
          <w:color w:val="13272F"/>
          <w:sz w:val="20"/>
          <w:szCs w:val="20"/>
        </w:rPr>
        <w:t xml:space="preserve">how the system works</w:t>
      </w:r>
      <w:r>
        <w:rPr>
          <w:color w:val="13272F"/>
          <w:sz w:val="20"/>
          <w:szCs w:val="20"/>
        </w:rPr>
        <w:t xml:space="preserve">. It deliberately does not repeat what belongs elsewhere: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518"/>
        <w:gridCol w:w="4842"/>
      </w:tblGrid>
      <w:tr>
        <w:trPr>
          <w:tblHeader/>
        </w:trPr>
        <w:tc>
          <w:tcPr>
            <w:tcW w:type="dxa" w:w="45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48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See</w:t>
            </w:r>
          </w:p>
        </w:tc>
      </w:tr>
      <w:tr>
        <w:trPr>
          <w:tblHeader w:val="false"/>
        </w:trPr>
        <w:tc>
          <w:tcPr>
            <w:tcW w:type="dxa" w:w="45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we are building and why</w:t>
            </w:r>
          </w:p>
        </w:tc>
        <w:tc>
          <w:tcPr>
            <w:tcW w:type="dxa" w:w="48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PRD.md</w:t>
            </w:r>
          </w:p>
        </w:tc>
      </w:tr>
      <w:tr>
        <w:trPr>
          <w:tblHeader w:val="false"/>
        </w:trPr>
        <w:tc>
          <w:tcPr>
            <w:tcW w:type="dxa" w:w="45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Why a technology was chosen</w:t>
            </w:r>
          </w:p>
        </w:tc>
        <w:tc>
          <w:tcPr>
            <w:tcW w:type="dxa" w:w="48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adr/</w:t>
            </w:r>
            <w:r>
              <w:rPr>
                <w:color w:val="13272F"/>
                <w:sz w:val="17"/>
                <w:szCs w:val="17"/>
              </w:rPr>
              <w:t xml:space="preserve"> — 15 records</w:t>
            </w:r>
          </w:p>
        </w:tc>
      </w:tr>
      <w:tr>
        <w:trPr>
          <w:tblHeader w:val="false"/>
        </w:trPr>
        <w:tc>
          <w:tcPr>
            <w:tcW w:type="dxa" w:w="45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table and column</w:t>
            </w:r>
          </w:p>
        </w:tc>
        <w:tc>
          <w:tcPr>
            <w:tcW w:type="dxa" w:w="48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DATA_MODEL.md</w:t>
            </w:r>
          </w:p>
        </w:tc>
      </w:tr>
      <w:tr>
        <w:trPr>
          <w:tblHeader w:val="false"/>
        </w:trPr>
        <w:tc>
          <w:tcPr>
            <w:tcW w:type="dxa" w:w="45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endpoint</w:t>
            </w:r>
          </w:p>
        </w:tc>
        <w:tc>
          <w:tcPr>
            <w:tcW w:type="dxa" w:w="48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API_CONTRACT.md</w:t>
            </w:r>
            <w:r>
              <w:rPr>
                <w:color w:val="1327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openapi.yaml</w:t>
            </w:r>
          </w:p>
        </w:tc>
      </w:tr>
      <w:tr>
        <w:trPr>
          <w:tblHeader w:val="false"/>
        </w:trPr>
        <w:tc>
          <w:tcPr>
            <w:tcW w:type="dxa" w:w="45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screen</w:t>
            </w:r>
          </w:p>
        </w:tc>
        <w:tc>
          <w:tcPr>
            <w:tcW w:type="dxa" w:w="48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UX_SPEC.md</w:t>
            </w:r>
          </w:p>
        </w:tc>
      </w:tr>
      <w:tr>
        <w:trPr>
          <w:tblHeader w:val="false"/>
        </w:trPr>
        <w:tc>
          <w:tcPr>
            <w:tcW w:type="dxa" w:w="45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to build in what order</w:t>
            </w:r>
          </w:p>
        </w:tc>
        <w:tc>
          <w:tcPr>
            <w:tcW w:type="dxa" w:w="48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BUILD_PLAN.md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Decisions are referenced, not re-argued.</w:t>
      </w:r>
      <w:r>
        <w:rPr>
          <w:color w:val="13272F"/>
          <w:sz w:val="20"/>
          <w:szCs w:val="20"/>
        </w:rPr>
        <w:t xml:space="preserve"> Where this document states a choice, the reasoning is in the cited ADR. If you disagree with a choice, supersede the ADR rather than editing this document.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1.2 Supersedes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design/SYSTEM_DESIGN.md</w:t>
      </w:r>
      <w:r>
        <w:rPr>
          <w:color w:val="13272F"/>
          <w:sz w:val="20"/>
          <w:szCs w:val="20"/>
        </w:rPr>
        <w:t xml:space="preserve"> (v1)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design/PLATFORM_SPEC.md</w:t>
      </w:r>
      <w:r>
        <w:rPr>
          <w:color w:val="13272F"/>
          <w:sz w:val="20"/>
          <w:szCs w:val="20"/>
        </w:rPr>
        <w:t xml:space="preserve"> (v2) are superseded in full. They remain in the repository as historical record of how the design evolved — in particular the frontend reversal recorded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System overview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What the system does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learner interviews an LLM-driven virtual patient, orders examinations and investigations from an undifferentiated universal menu, and submits a diagnosis. The system records every action and, at conclusion, applies a deterministic rule engine that detects three cognitive biases, then returns Socratic feedback.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measurement is the product.</w:t>
      </w:r>
      <w:r>
        <w:rPr>
          <w:color w:val="13272F"/>
          <w:sz w:val="20"/>
          <w:szCs w:val="20"/>
        </w:rPr>
        <w:t xml:space="preserve"> Every architectural decision defers to that.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2.2 Three load-bearing properties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are the properties everything else protects. A change that breaks one of them is rejected regardless of its other merits.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9"/>
        <w:gridCol w:w="5372"/>
        <w:gridCol w:w="3079"/>
      </w:tblGrid>
      <w:tr>
        <w:trPr>
          <w:tblHeader/>
        </w:trPr>
        <w:tc>
          <w:tcPr>
            <w:tcW w:type="dxa" w:w="9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3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307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PR-1</w:t>
            </w:r>
          </w:p>
        </w:tc>
        <w:tc>
          <w:tcPr>
            <w:tcW w:type="dxa" w:w="5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LLM never marks.</w:t>
            </w:r>
            <w:r>
              <w:rPr>
                <w:color w:val="13272F"/>
                <w:sz w:val="17"/>
                <w:szCs w:val="17"/>
              </w:rPr>
              <w:t xml:space="preserve"> Every flag, score and verdict is deterministic Python</w:t>
            </w:r>
          </w:p>
        </w:tc>
        <w:tc>
          <w:tcPr>
            <w:tcW w:type="dxa" w:w="30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  <w:r>
              <w:rPr>
                <w:color w:val="13272F"/>
                <w:sz w:val="17"/>
                <w:szCs w:val="17"/>
              </w:rPr>
              <w:t xml:space="preserve"> · architecture, §4</w:t>
            </w:r>
          </w:p>
        </w:tc>
      </w:tr>
      <w:tr>
        <w:trPr>
          <w:tblHeader w:val="false"/>
        </w:trPr>
        <w:tc>
          <w:tcPr>
            <w:tcW w:type="dxa" w:w="9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PR-2</w:t>
            </w:r>
          </w:p>
        </w:tc>
        <w:tc>
          <w:tcPr>
            <w:tcW w:type="dxa" w:w="53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Every judgement is traceable.</w:t>
            </w:r>
            <w:r>
              <w:rPr>
                <w:color w:val="13272F"/>
                <w:sz w:val="17"/>
                <w:szCs w:val="17"/>
              </w:rPr>
              <w:t xml:space="preserve"> A flag cites the learner's own actions</w:t>
            </w:r>
          </w:p>
        </w:tc>
        <w:tc>
          <w:tcPr>
            <w:tcW w:type="dxa" w:w="30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ADR-0004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bias_detail.reason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.evidence</w:t>
            </w:r>
          </w:p>
        </w:tc>
      </w:tr>
      <w:tr>
        <w:trPr>
          <w:tblHeader w:val="false"/>
        </w:trPr>
        <w:tc>
          <w:tcPr>
            <w:tcW w:type="dxa" w:w="9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PR-3</w:t>
            </w:r>
          </w:p>
        </w:tc>
        <w:tc>
          <w:tcPr>
            <w:tcW w:type="dxa" w:w="5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event log is the source of truth.</w:t>
            </w:r>
            <w:r>
              <w:rPr>
                <w:color w:val="13272F"/>
                <w:sz w:val="17"/>
                <w:szCs w:val="17"/>
              </w:rPr>
              <w:t xml:space="preserve"> Derived state is reproducible from it</w:t>
            </w:r>
          </w:p>
        </w:tc>
        <w:tc>
          <w:tcPr>
            <w:tcW w:type="dxa" w:w="30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ADR-0003</w:t>
            </w:r>
            <w:r>
              <w:rPr>
                <w:color w:val="13272F"/>
                <w:sz w:val="17"/>
                <w:szCs w:val="17"/>
              </w:rPr>
              <w:t xml:space="preserve"> · append-only triggers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PR-1 is what made the pilot's data-integrity check possible: results were recomputed from stored questions and all 16 sessions matched exactly. That check remains a CI test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T-016).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2.3 Context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Learner ────────►┌──────────────────────────────┐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      Nidan Platform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Clinical    ──────►│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reviewer           │  Next.js web · Flask API     │◄───► LLM providers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Jinja admin · Assessment    │      (per-purpose routing)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Admin   ────────►│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└───────────┬──────────────────┘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┌───────────▼───────────┐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PostgreSQL + pgvector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    (Supabase)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└───────────┬───────────┘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┌───────────▼────────────┐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 Case Factory (P7)    │◄─── public medical datasets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└────────────────────────┘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Architecture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3.1 Component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Modular monolith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ADR-0009</w:t>
      </w:r>
      <w:r>
        <w:rPr>
          <w:color w:val="13272F"/>
          <w:sz w:val="20"/>
          <w:szCs w:val="20"/>
        </w:rPr>
        <w:t xml:space="preserve">). One deployable, enforced internal layering.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nidan/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api/            HTTP layer — routing, request/response schemas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v1/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domain/         Pure logic. No I/O. Fully unit-testable.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assessment/     topics · bias · clinical · engine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session.py      state reconstruction from 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selection.py    case allocation, allowance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content.py      case invariants (C-1..C-7)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infra/          I/O boundaries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db/             SQLAlchemy models, repositories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llm/            provider gateway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auth/           JWT verification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web/            Jinja templates — admin console only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 factory/        Case Factory (Phase 7)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`domain/` must not import from `infra/` or `api/`.</w:t>
      </w:r>
      <w:r>
        <w:rPr>
          <w:color w:val="13272F"/>
          <w:sz w:val="20"/>
          <w:szCs w:val="20"/>
        </w:rPr>
        <w:t xml:space="preserve"> Enforced by import-linter in CI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T-004). This is what keeps the assessment engine testable without a database and replayable for recomputation.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3.2 Request lifecycle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HTTP request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JWT verified (JWKS, cached)              infra/auth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Profile loaded, tier resolved            infra/db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Rate limit checked                       api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Idempotency key checked                  infra/db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Session reconstructed from events        domain/session  ← PR-3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Business logic executed                 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LLM called if needed                     infra/llm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Event appended                           infra/db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│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└─ Response serialised per openapi.yaml     api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3.3 Consultation data flow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1 — during the consultation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learner types a question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session_events(type=question)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└─► topic extraction, stored on the reply event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LLM patient call ──► session_events(type=patient_reply)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└─► leakage check ──► leakage_flags (if triggered)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learner selects an examination or investigation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session_events(type=examination | investigation)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2 — on diagnosis submission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session_events replayed ──► session state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├─► bias detectors        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├─► clinical evaluator     ├─► session_results (+ engine_version_id)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feedback generator    ─┘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└─► feedback_texts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user_progress updated in the same transaction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3 — offline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session_results ──► analytics, research export, case difficulty monitoring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Note what is absent from Stage 1: no assessment state is ever returned to the client during a consultation.</w:t>
      </w:r>
      <w:r>
        <w:rPr>
          <w:color w:val="13272F"/>
          <w:sz w:val="20"/>
          <w:szCs w:val="20"/>
        </w:rPr>
        <w:t xml:space="preserve"> That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P2, enforced by contract tests CT-1 and CT-2.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The assessment engine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core intellectual property. Everything else is scaffolding around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4.1 Interface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dataclass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frozen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detector_version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lexicon_version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encoder_model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thresholds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Thresholds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every constant, from the database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AssessmentResult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Pure function.</w:t>
      </w:r>
      <w:r>
        <w:rPr>
          <w:color w:val="13272F"/>
          <w:sz w:val="20"/>
          <w:szCs w:val="20"/>
        </w:rPr>
        <w:t xml:space="preserve"> Same inputs → same outputs, always. No clock, no randomness, no network.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Thresholds are inputs, not constants.</w:t>
      </w:r>
      <w:r>
        <w:rPr>
          <w:color w:val="13272F"/>
          <w:sz w:val="20"/>
          <w:szCs w:val="20"/>
        </w:rPr>
        <w:t xml:space="preserve"> This is what makes threshold calibration a data operation rather than a code change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ADR-0004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§6.4).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4.2 Topic extraction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Currently case-insensitive substring matching against 523 curated phrases across 40 topics.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question ──► normalise ──► for each topic: any phrase ⊆ question?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└─► topic marked covered (once per message)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= |required_topics ∩ covered| / |required_topics|.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Known limitation:</w:t>
      </w:r>
      <w:r>
        <w:rPr>
          <w:color w:val="13272F"/>
          <w:sz w:val="20"/>
          <w:szCs w:val="20"/>
        </w:rPr>
        <w:t xml:space="preserve"> lexical matching misses paraphrase. Every error in detector validation traced here. The hybrid embedding upgrade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ADR-0013</w:t>
      </w:r>
      <w:r>
        <w:rPr>
          <w:color w:val="13272F"/>
          <w:sz w:val="20"/>
          <w:szCs w:val="20"/>
        </w:rPr>
        <w:t xml:space="preserve">, Phase 5.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upgrade preserves PR-2: evidence becomes </w:t>
      </w:r>
      <w:r>
        <w:rPr>
          <w:i/>
          <w:iCs/>
          <w:color w:val="13272F"/>
          <w:sz w:val="20"/>
          <w:szCs w:val="20"/>
        </w:rPr>
        <w:t xml:space="preserve">"'does a rich evening dinner set it off?' matched 'meal relationship' (similarity 0.81)"</w:t>
      </w:r>
      <w:r>
        <w:rPr>
          <w:color w:val="13272F"/>
          <w:sz w:val="20"/>
          <w:szCs w:val="20"/>
        </w:rPr>
        <w:t xml:space="preserve"> — arguably more informative than a keyword hit.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4.3 The three detectors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returns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{detected, score, rule_fired, reason, evidence, counters}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</w:t>
      </w:r>
      <w:r>
        <w:rPr>
          <w:color w:val="13272F"/>
          <w:sz w:val="20"/>
          <w:szCs w:val="20"/>
        </w:rPr>
        <w:t xml:space="preserve"> = questions,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</w:t>
      </w:r>
      <w:r>
        <w:rPr>
          <w:color w:val="13272F"/>
          <w:sz w:val="20"/>
          <w:szCs w:val="20"/>
        </w:rPr>
        <w:t xml:space="preserve"> = questions matching anchor keywords,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</w:t>
      </w:r>
      <w:r>
        <w:rPr>
          <w:color w:val="13272F"/>
          <w:sz w:val="20"/>
          <w:szCs w:val="20"/>
        </w:rPr>
        <w:t xml:space="preserve"> = questions matching alternatives,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</w:t>
      </w:r>
      <w:r>
        <w:rPr>
          <w:color w:val="13272F"/>
          <w:sz w:val="20"/>
          <w:szCs w:val="20"/>
        </w:rPr>
        <w:t xml:space="preserve"> = coverage fraction,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k</w:t>
      </w:r>
      <w:r>
        <w:rPr>
          <w:color w:val="13272F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K</w:t>
      </w:r>
      <w:r>
        <w:rPr>
          <w:color w:val="13272F"/>
          <w:sz w:val="20"/>
          <w:szCs w:val="20"/>
        </w:rPr>
        <w:t xml:space="preserve"> = contradictory clues explored.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10"/>
        <w:gridCol w:w="5134"/>
        <w:gridCol w:w="2516"/>
      </w:tblGrid>
      <w:tr>
        <w:trPr>
          <w:tblHeader/>
        </w:trPr>
        <w:tc>
          <w:tcPr>
            <w:tcW w:type="dxa" w:w="17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51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Rules (OR'd)</w:t>
            </w:r>
          </w:p>
        </w:tc>
        <w:tc>
          <w:tcPr>
            <w:tcW w:type="dxa" w:w="25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rPr>
          <w:tblHeader w:val="false"/>
        </w:trPr>
        <w:tc>
          <w:tcPr>
            <w:tcW w:type="dxa" w:w="17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51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A1: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 ≥ 4 ∧ a/q &gt; 0.60</w:t>
            </w:r>
            <w:r>
              <w:rPr>
                <w:color w:val="13272F"/>
                <w:sz w:val="17"/>
                <w:szCs w:val="17"/>
              </w:rPr>
              <w:t xml:space="preserve"> · A2: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 ≥ 3 ∧ m = 0</w:t>
            </w:r>
          </w:p>
        </w:tc>
        <w:tc>
          <w:tcPr>
            <w:tcW w:type="dxa" w:w="2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max(a/q, 0.85)</w:t>
            </w:r>
          </w:p>
        </w:tc>
      </w:tr>
      <w:tr>
        <w:trPr>
          <w:tblHeader w:val="false"/>
        </w:trPr>
        <w:tc>
          <w:tcPr>
            <w:tcW w:type="dxa" w:w="17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51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P1: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 &lt; q_min</w:t>
            </w:r>
            <w:r>
              <w:rPr>
                <w:color w:val="13272F"/>
                <w:sz w:val="17"/>
                <w:szCs w:val="17"/>
              </w:rPr>
              <w:t xml:space="preserve"> · P2: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 &lt; 0.60</w:t>
            </w:r>
          </w:p>
        </w:tc>
        <w:tc>
          <w:tcPr>
            <w:tcW w:type="dxa" w:w="2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max(1−q/q_min ⌊0.1⌋, 1−c)</w:t>
            </w:r>
          </w:p>
        </w:tc>
      </w:tr>
      <w:tr>
        <w:trPr>
          <w:tblHeader w:val="false"/>
        </w:trPr>
        <w:tc>
          <w:tcPr>
            <w:tcW w:type="dxa" w:w="17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51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C1: trap diagnosed ∧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k = 0</w:t>
            </w:r>
            <w:r>
              <w:rPr>
                <w:color w:val="13272F"/>
                <w:sz w:val="17"/>
                <w:szCs w:val="17"/>
              </w:rPr>
              <w:t xml:space="preserve"> · C2: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 ≥ 5 ∧ k/K &lt; 0.25</w:t>
            </w:r>
          </w:p>
        </w:tc>
        <w:tc>
          <w:tcPr>
            <w:tcW w:type="dxa" w:w="2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max(0.90, 1−k/K)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OR and not AND:</w:t>
      </w:r>
      <w:r>
        <w:rPr>
          <w:color w:val="13272F"/>
          <w:sz w:val="20"/>
          <w:szCs w:val="20"/>
        </w:rPr>
        <w:t xml:space="preserve"> each rule catches a different failure mode and neither subsumes the other. A1 catches heavy skew across many questions; A2 catches few questions with zero breadth. AND-ing them would miss the second pattern entirely.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`max` for the score:</w:t>
      </w:r>
      <w:r>
        <w:rPr>
          <w:color w:val="13272F"/>
          <w:sz w:val="20"/>
          <w:szCs w:val="20"/>
        </w:rPr>
        <w:t xml:space="preserve"> severity should reflect the strongest available evidence, and should be monotonic as evidence accumulates.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guards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 ≥ 4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 ≥ 5</w:t>
      </w:r>
      <w:r>
        <w:rPr>
          <w:color w:val="13272F"/>
          <w:sz w:val="20"/>
          <w:szCs w:val="20"/>
        </w:rPr>
        <w:t xml:space="preserve">, score floor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0.1</w:t>
      </w:r>
      <w:r>
        <w:rPr>
          <w:color w:val="13272F"/>
          <w:sz w:val="20"/>
          <w:szCs w:val="20"/>
        </w:rPr>
        <w:t xml:space="preserve">) prevent small-sample artefacts and prevent a </w:t>
      </w:r>
      <w:r>
        <w:rPr>
          <w:i/>
          <w:iCs/>
          <w:color w:val="13272F"/>
          <w:sz w:val="20"/>
          <w:szCs w:val="20"/>
        </w:rPr>
        <w:t xml:space="preserve">detected</w:t>
      </w:r>
      <w:r>
        <w:rPr>
          <w:color w:val="13272F"/>
          <w:sz w:val="20"/>
          <w:szCs w:val="20"/>
        </w:rPr>
        <w:t xml:space="preserve"> flag carrying a near-zero score, which would read as self-contradictory.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4.4 Validation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18 hand-labelled transcripts across all five cases, four reasoning styles including deliberately paraphrased adversarial cases. Executed through the </w:t>
      </w:r>
      <w:r>
        <w:rPr>
          <w:b/>
          <w:bCs/>
          <w:color w:val="13272F"/>
          <w:sz w:val="20"/>
          <w:szCs w:val="20"/>
        </w:rPr>
        <w:t xml:space="preserve">production</w:t>
      </w:r>
      <w:r>
        <w:rPr>
          <w:color w:val="13272F"/>
          <w:sz w:val="20"/>
          <w:szCs w:val="20"/>
        </w:rPr>
        <w:t xml:space="preserve"> pipeline, not a reimplementation.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2"/>
        <w:gridCol w:w="2018"/>
        <w:gridCol w:w="2018"/>
        <w:gridCol w:w="2202"/>
      </w:tblGrid>
      <w:tr>
        <w:trPr>
          <w:tblHeader/>
        </w:trPr>
        <w:tc>
          <w:tcPr>
            <w:tcW w:type="dxa" w:w="31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20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20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Specificity</w:t>
            </w:r>
          </w:p>
        </w:tc>
        <w:tc>
          <w:tcPr>
            <w:tcW w:type="dxa" w:w="22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</w:tr>
      <w:tr>
        <w:trPr>
          <w:tblHeader w:val="false"/>
        </w:trPr>
        <w:tc>
          <w:tcPr>
            <w:tcW w:type="dxa" w:w="3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22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31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88 %</w:t>
            </w:r>
          </w:p>
        </w:tc>
        <w:tc>
          <w:tcPr>
            <w:tcW w:type="dxa" w:w="22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94 %</w:t>
            </w:r>
          </w:p>
        </w:tc>
      </w:tr>
      <w:tr>
        <w:trPr>
          <w:tblHeader w:val="false"/>
        </w:trPr>
        <w:tc>
          <w:tcPr>
            <w:tcW w:type="dxa" w:w="3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82 %</w:t>
            </w:r>
          </w:p>
        </w:tc>
        <w:tc>
          <w:tcPr>
            <w:tcW w:type="dxa" w:w="22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89 %</w:t>
            </w:r>
          </w:p>
        </w:tc>
      </w:tr>
      <w:tr>
        <w:trPr>
          <w:tblHeader w:val="false"/>
        </w:trPr>
        <w:tc>
          <w:tcPr>
            <w:tcW w:type="dxa" w:w="31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Overall</w:t>
            </w:r>
          </w:p>
        </w:tc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/>
            </w:r>
          </w:p>
        </w:tc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/>
            </w:r>
          </w:p>
        </w:tc>
        <w:tc>
          <w:tcPr>
            <w:tcW w:type="dxa" w:w="22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94 %</w:t>
            </w:r>
            <w:r>
              <w:rPr>
                <w:color w:val="13272F"/>
                <w:sz w:val="17"/>
                <w:szCs w:val="17"/>
              </w:rPr>
              <w:t xml:space="preserve"> (51/54)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Zero false negatives across all three.</w:t>
      </w:r>
      <w:r>
        <w:rPr>
          <w:color w:val="13272F"/>
          <w:sz w:val="20"/>
          <w:szCs w:val="20"/>
        </w:rPr>
        <w:t xml:space="preserve"> Sensitivity is weighted above specificity deliberately: a missed bias is a missed teaching moment, whereas a false alarm merely asks a learner to justify reasoning that was already sound.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 three errors occurred on the two paraphrase-adversarial transcripts — the known lexical limitation, not a rule defect.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suite runs on every pull request and fails the build below 94 %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T-004). The research claim is a CI check.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4.5 The defect this validation found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first confirmation-bias detector achieved 14 % sensitivity, missing 6 of 7 biased transcripts.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Cause:</w:t>
      </w:r>
      <w:r>
        <w:rPr>
          <w:color w:val="13272F"/>
          <w:sz w:val="20"/>
          <w:szCs w:val="20"/>
        </w:rPr>
        <w:t xml:space="preserve"> contradictory clues were stored as free-text sentences that shared vocabulary with the anchor keywords. A learner asking </w:t>
      </w:r>
      <w:r>
        <w:rPr>
          <w:i/>
          <w:iCs/>
          <w:color w:val="13272F"/>
          <w:sz w:val="20"/>
          <w:szCs w:val="20"/>
        </w:rPr>
        <w:t xml:space="preserve">"any family history of heart problems?"</w:t>
      </w:r>
      <w:r>
        <w:rPr>
          <w:color w:val="13272F"/>
          <w:sz w:val="20"/>
          <w:szCs w:val="20"/>
        </w:rPr>
        <w:t xml:space="preserve"> matched the clue </w:t>
      </w:r>
      <w:r>
        <w:rPr>
          <w:i/>
          <w:iCs/>
          <w:color w:val="13272F"/>
          <w:sz w:val="20"/>
          <w:szCs w:val="20"/>
        </w:rPr>
        <w:t xml:space="preserve">"father diabetes no family cardiac heart history"</w:t>
      </w:r>
      <w:r>
        <w:rPr>
          <w:color w:val="13272F"/>
          <w:sz w:val="20"/>
          <w:szCs w:val="20"/>
        </w:rPr>
        <w:t xml:space="preserve">, so the system counted them as having explored disconfirming evidence when they had not.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Fix:</w:t>
      </w:r>
      <w:r>
        <w:rPr>
          <w:color w:val="13272F"/>
          <w:sz w:val="20"/>
          <w:szCs w:val="20"/>
        </w:rPr>
        <w:t xml:space="preserve"> clues rewritten as curated keyword sets disjoint from the anchor vocabulary. Sensitivity 14 % → 100 %, no regression elsewhere.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Structural prevention:</w:t>
      </w:r>
      <w:r>
        <w:rPr>
          <w:color w:val="13272F"/>
          <w:sz w:val="20"/>
          <w:szCs w:val="20"/>
        </w:rPr>
        <w:t xml:space="preserve"> invariant C-4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§8.1) is now checked in CI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T-003) and blocks saving in the case editor (T-021). The class of bug is made impossible rather than merely fixed.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LLM gateway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5.1 Responsibilities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Single module owning every model call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ADR-0011</w:t>
      </w:r>
      <w:r>
        <w:rPr>
          <w:color w:val="13272F"/>
          <w:sz w:val="20"/>
          <w:szCs w:val="20"/>
        </w:rPr>
        <w:t xml:space="preserve">).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messages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max_tokens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temperature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Literal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"feedback"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"judge"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"grounding"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LLMResult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7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Per-purpose routing</w:t>
            </w:r>
          </w:p>
        </w:tc>
        <w:tc>
          <w:tcPr>
            <w:tcW w:type="dxa" w:w="7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Cheap/fast for the high-volume patient turn; stronger model for once-per-session feedback; different models for Factory extraction and judging</w:t>
            </w:r>
          </w:p>
        </w:tc>
      </w:tr>
      <w:tr>
        <w:trPr>
          <w:tblHeader w:val="false"/>
        </w:trPr>
        <w:tc>
          <w:tcPr>
            <w:tcW w:type="dxa" w:w="1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Retry</w:t>
            </w:r>
          </w:p>
        </w:tc>
        <w:tc>
          <w:tcPr>
            <w:tcW w:type="dxa" w:w="7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Exponential backoff with jitter on 429/5xx/empty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Circuit breaker</w:t>
            </w:r>
          </w:p>
        </w:tc>
        <w:tc>
          <w:tcPr>
            <w:tcW w:type="dxa" w:w="7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N consecutive failures, stop calling for a cool-down and serve the fallback. Prevents a provider outage making every request hang before failing</w:t>
            </w:r>
          </w:p>
        </w:tc>
      </w:tr>
      <w:tr>
        <w:trPr>
          <w:tblHeader w:val="false"/>
        </w:trPr>
        <w:tc>
          <w:tcPr>
            <w:tcW w:type="dxa" w:w="1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Cost accounting</w:t>
            </w:r>
          </w:p>
        </w:tc>
        <w:tc>
          <w:tcPr>
            <w:tcW w:type="dxa" w:w="7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call writes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llm_calls</w:t>
            </w:r>
            <w:r>
              <w:rPr>
                <w:color w:val="13272F"/>
                <w:sz w:val="17"/>
                <w:szCs w:val="17"/>
              </w:rPr>
              <w:t xml:space="preserve"> — tokens, cost, latency, status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Prompt versioning</w:t>
            </w:r>
          </w:p>
        </w:tc>
        <w:tc>
          <w:tcPr>
            <w:tcW w:type="dxa" w:w="7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Personas are behaviourally significant; version recorded on every session</w:t>
            </w:r>
          </w:p>
        </w:tc>
      </w:tr>
      <w:tr>
        <w:trPr>
          <w:tblHeader w:val="false"/>
        </w:trPr>
        <w:tc>
          <w:tcPr>
            <w:tcW w:type="dxa" w:w="1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Fallback</w:t>
            </w:r>
          </w:p>
        </w:tc>
        <w:tc>
          <w:tcPr>
            <w:tcW w:type="dxa" w:w="7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Rule-based feedback when the model is unavailable, so no consultation ends without guidance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Prompt and response bodies are never stored</w:t>
      </w:r>
      <w:r>
        <w:rPr>
          <w:color w:val="13272F"/>
          <w:sz w:val="20"/>
          <w:szCs w:val="20"/>
        </w:rPr>
        <w:t xml:space="preserve"> — only metadata. Storing them would duplicate learner text into a second location for no analytical gain.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5.2 Model selection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Determinism note: the patient runs at temperature 0.7 and is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deterministic. The </w:t>
      </w:r>
      <w:r>
        <w:rPr>
          <w:b/>
          <w:bCs/>
          <w:color w:val="13272F"/>
          <w:sz w:val="20"/>
          <w:szCs w:val="20"/>
        </w:rPr>
        <w:t xml:space="preserve">marking</w:t>
      </w:r>
      <w:r>
        <w:rPr>
          <w:color w:val="13272F"/>
          <w:sz w:val="20"/>
          <w:szCs w:val="20"/>
        </w:rPr>
        <w:t xml:space="preserve"> is (PR-1). Conflating these is the most common misunderstanding of the architecture.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29"/>
        <w:gridCol w:w="2995"/>
        <w:gridCol w:w="1569"/>
        <w:gridCol w:w="4067"/>
      </w:tblGrid>
      <w:tr>
        <w:trPr>
          <w:tblHeader/>
        </w:trPr>
        <w:tc>
          <w:tcPr>
            <w:tcW w:type="dxa" w:w="7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9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5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406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Selection criterion</w:t>
            </w:r>
          </w:p>
        </w:tc>
      </w:tr>
      <w:tr>
        <w:trPr>
          <w:tblHeader w:val="false"/>
        </w:trPr>
        <w:tc>
          <w:tcPr>
            <w:tcW w:type="dxa" w:w="7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Patient</w:t>
            </w:r>
          </w:p>
        </w:tc>
        <w:tc>
          <w:tcPr>
            <w:tcW w:type="dxa" w:w="2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Fast, cheap, disciplined about withholding</w:t>
            </w:r>
          </w:p>
        </w:tc>
        <w:tc>
          <w:tcPr>
            <w:tcW w:type="dxa" w:w="1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Llama 3.3 70B via Groq</w:t>
            </w:r>
          </w:p>
        </w:tc>
        <w:tc>
          <w:tcPr>
            <w:tcW w:type="dxa" w:w="40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Leakage rate first</w:t>
            </w:r>
            <w:r>
              <w:rPr>
                <w:color w:val="13272F"/>
                <w:sz w:val="17"/>
                <w:szCs w:val="17"/>
              </w:rPr>
              <w:t xml:space="preserve">, then cost, then latency</w:t>
            </w:r>
          </w:p>
        </w:tc>
      </w:tr>
      <w:tr>
        <w:trPr>
          <w:tblHeader w:val="false"/>
        </w:trPr>
        <w:tc>
          <w:tcPr>
            <w:tcW w:type="dxa" w:w="7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Feedback</w:t>
            </w:r>
          </w:p>
        </w:tc>
        <w:tc>
          <w:tcPr>
            <w:tcW w:type="dxa" w:w="29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Pedagogical quality, obeys constraints</w:t>
            </w:r>
          </w:p>
        </w:tc>
        <w:tc>
          <w:tcPr>
            <w:tcW w:type="dxa" w:w="1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</w:t>
            </w:r>
          </w:p>
        </w:tc>
        <w:tc>
          <w:tcPr>
            <w:tcW w:type="dxa" w:w="40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Upgrade to a stronger model before launch</w:t>
            </w:r>
          </w:p>
        </w:tc>
      </w:tr>
      <w:tr>
        <w:trPr>
          <w:tblHeader w:val="false"/>
        </w:trPr>
        <w:tc>
          <w:tcPr>
            <w:tcW w:type="dxa" w:w="7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Extraction</w:t>
            </w:r>
          </w:p>
        </w:tc>
        <w:tc>
          <w:tcPr>
            <w:tcW w:type="dxa" w:w="2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Strict schema adherence</w:t>
            </w:r>
          </w:p>
        </w:tc>
        <w:tc>
          <w:tcPr>
            <w:tcW w:type="dxa" w:w="1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40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7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Judge</w:t>
            </w:r>
          </w:p>
        </w:tc>
        <w:tc>
          <w:tcPr>
            <w:tcW w:type="dxa" w:w="29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Holistic clinical plausibility</w:t>
            </w:r>
          </w:p>
        </w:tc>
        <w:tc>
          <w:tcPr>
            <w:tcW w:type="dxa" w:w="1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40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Must differ from extraction</w:t>
            </w:r>
            <w:r>
              <w:rPr>
                <w:color w:val="13272F"/>
                <w:sz w:val="17"/>
                <w:szCs w:val="17"/>
              </w:rPr>
              <w:t xml:space="preserve"> — correlated errors otherwise</w:t>
            </w:r>
          </w:p>
        </w:tc>
      </w:tr>
      <w:tr>
        <w:trPr>
          <w:tblHeader w:val="false"/>
        </w:trPr>
        <w:tc>
          <w:tcPr>
            <w:tcW w:type="dxa" w:w="7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Grounding</w:t>
            </w:r>
          </w:p>
        </w:tc>
        <w:tc>
          <w:tcPr>
            <w:tcW w:type="dxa" w:w="2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Textual entailment</w:t>
            </w:r>
          </w:p>
        </w:tc>
        <w:tc>
          <w:tcPr>
            <w:tcW w:type="dxa" w:w="1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40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NLI model, not an LLM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ADR-0012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Pre-launch action:</w:t>
      </w:r>
      <w:r>
        <w:rPr>
          <w:color w:val="13272F"/>
          <w:sz w:val="20"/>
          <w:szCs w:val="20"/>
        </w:rPr>
        <w:t xml:space="preserve"> run a persona-discipline bake-off across candidate models using the adversarial extraction prompts, and select on measured leakage rate.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5.3 Persona integrity — the largest residual risk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patient's </w:t>
      </w:r>
      <w:r>
        <w:rPr>
          <w:i/>
          <w:iCs/>
          <w:color w:val="13272F"/>
          <w:sz w:val="20"/>
          <w:szCs w:val="20"/>
        </w:rPr>
        <w:t xml:space="preserve">"only reveal when directly asked"</w:t>
      </w:r>
      <w:r>
        <w:rPr>
          <w:color w:val="13272F"/>
          <w:sz w:val="20"/>
          <w:szCs w:val="20"/>
        </w:rPr>
        <w:t xml:space="preserve"> rule is prompt engineering, which is soft. If the model volunteers information, coverage measures the model rather than the learner, and the measurement is invalid.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Three defences: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Runtime detection.</w:t>
      </w:r>
      <w:r>
        <w:rPr>
          <w:color w:val="13272F"/>
          <w:sz w:val="20"/>
          <w:szCs w:val="20"/>
        </w:rPr>
        <w:t xml:space="preserve"> After each reply, check whether it revealed a required topic the question did not ask about. Flag to an admin queue; confirmed leaks are excluded from research export.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Adversarial CI.</w:t>
      </w:r>
      <w:r>
        <w:rPr>
          <w:color w:val="13272F"/>
          <w:sz w:val="20"/>
          <w:szCs w:val="20"/>
        </w:rPr>
        <w:t xml:space="preserve"> A fixed set of extraction attempts run against every case persona; a case whose persona leaks a key fact fails the build.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Disclosure.</w:t>
      </w:r>
      <w:r>
        <w:rPr>
          <w:color w:val="13272F"/>
          <w:sz w:val="20"/>
          <w:szCs w:val="20"/>
        </w:rPr>
        <w:t xml:space="preserve"> Leakage rate reported as a limitation in any publication.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most under-addressed risk in the project</w:t>
      </w:r>
      <w:r>
        <w:rPr>
          <w:color w:val="13272F"/>
          <w:sz w:val="20"/>
          <w:szCs w:val="20"/>
        </w:rPr>
        <w:t xml:space="preserve"> and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T-040.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Admin console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Full screen specification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§12. Architecture notes only here.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6.1 Why it matters more than it sounds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Clinical content currently lives in 2 421 lines of Python. That means only a programmer can change a case, clinicians cannot review without reading code, every content fix is a deploy, and a keyword typo is a production incident.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content platform separates content from code.</w:t>
      </w:r>
      <w:r>
        <w:rPr>
          <w:color w:val="13272F"/>
          <w:sz w:val="20"/>
          <w:szCs w:val="20"/>
        </w:rPr>
        <w:t xml:space="preserve"> The admin console is how clinical content gets managed by the people qualified to manage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6.2 Architecture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Jinja + HTMX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), served by the same Flask application, admin-authenticated, desktop-only. Deliberately </w:t>
      </w:r>
      <w:r>
        <w:rPr>
          <w:i/>
          <w:i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Next.js: it is internal, form-heavy, low-traffic, and building it in the existing stack means it does not block API work.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6.3 The two screens that carry the value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Case editor</w:t>
      </w:r>
      <w:r>
        <w:rPr>
          <w:color w:val="13272F"/>
          <w:sz w:val="20"/>
          <w:szCs w:val="20"/>
        </w:rPr>
        <w:t xml:space="preserve"> — structured form with live invariant validation. C-4 (anchor/clue disjointness) </w:t>
      </w:r>
      <w:r>
        <w:rPr>
          <w:b/>
          <w:bCs/>
          <w:color w:val="13272F"/>
          <w:sz w:val="20"/>
          <w:szCs w:val="20"/>
        </w:rPr>
        <w:t xml:space="preserve">blocks save</w:t>
      </w:r>
      <w:r>
        <w:rPr>
          <w:color w:val="13272F"/>
          <w:sz w:val="20"/>
          <w:szCs w:val="20"/>
        </w:rPr>
        <w:t xml:space="preserve">, naming the conflicting terms. Editing a published version creates a new draft; published content is immutable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ADR-0010</w:t>
      </w:r>
      <w:r>
        <w:rPr>
          <w:color w:val="13272F"/>
          <w:sz w:val="20"/>
          <w:szCs w:val="20"/>
        </w:rPr>
        <w:t xml:space="preserve">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Playtest</w:t>
      </w:r>
      <w:r>
        <w:rPr>
          <w:color w:val="13272F"/>
          <w:sz w:val="20"/>
          <w:szCs w:val="20"/>
        </w:rPr>
        <w:t xml:space="preserve"> — split view with the student UI on one side and live instrumentation on the other: matched topics per question, running counters, detector state, clues explored, leakage warnings. This is how a non-programmer sees </w:t>
      </w:r>
      <w:r>
        <w:rPr>
          <w:i/>
          <w:iCs/>
          <w:color w:val="13272F"/>
          <w:sz w:val="20"/>
          <w:szCs w:val="20"/>
        </w:rPr>
        <w:t xml:space="preserve">why</w:t>
      </w:r>
      <w:r>
        <w:rPr>
          <w:color w:val="13272F"/>
          <w:sz w:val="20"/>
          <w:szCs w:val="20"/>
        </w:rPr>
        <w:t xml:space="preserve"> a detector fired, and it is what makes clinical review possible.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6.4 Threshold impact preview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Changing a threshold silently changes what every future result means. The console shows the consequence before applying: how many historical sessions would newly flag, and what the validation suite reports under the candidate values.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Only possible because of PR-3 — sessions can be replayed. This is the mechanism that closes the "thresholds not empirically tuned" limitation.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6.5 Build strategy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Custom for product-specific tools (editor, Playtest, AI ops). </w:t>
      </w:r>
      <w:r>
        <w:rPr>
          <w:b/>
          <w:bCs/>
          <w:color w:val="13272F"/>
          <w:sz w:val="20"/>
          <w:szCs w:val="20"/>
        </w:rPr>
        <w:t xml:space="preserve">Metabase for analytics</w:t>
      </w:r>
      <w:r>
        <w:rPr>
          <w:color w:val="13272F"/>
          <w:sz w:val="20"/>
          <w:szCs w:val="20"/>
        </w:rPr>
        <w:t xml:space="preserve"> — connects directly to Postgres, saves roughly 8 days of building dashboard screens. Buy the generic, build the specific.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Case Factory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Deferred to Phase 7. Designed now so the schema and vocabulary accommodate it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§12).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7.1 Principle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generated case is guilty until proven innocent.</w:t>
      </w:r>
      <w:r>
        <w:rPr>
          <w:color w:val="13272F"/>
          <w:sz w:val="20"/>
          <w:szCs w:val="20"/>
        </w:rPr>
        <w:t xml:space="preserve"> It reaches a learner only after passing every gate. The pipeline optimises for precision: rejecting 90 % of candidates is acceptable; publishing one clinically wrong case is not.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7.2 Pipeline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1 Source connector       dataset → normalised record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2 Candidate filter       rules + embedding dedup          — no LLM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3 Extraction             schema-forced generation         — LLM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4 Vocabulary mapping     fuzzy + embeddings, quarantine   — mostly no LLM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5 Grounding check        NLI entailment                   — ADR-0012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6 Quality judge          different model from step 3      — ADR-0011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7 Trap self-test         our own detectors                — NO AI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8 Case bank              status = candidate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9 Clinical review        human sign-off                   — PRD FR-12.5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10 Governed publish       policy-gated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Step 7 is the novel contribution.</w:t>
      </w:r>
      <w:r>
        <w:rPr>
          <w:color w:val="13272F"/>
          <w:sz w:val="20"/>
          <w:szCs w:val="20"/>
        </w:rPr>
        <w:t xml:space="preserve"> Every generated case is unit-tested against the same detectors that grade learners: synthetic tunnel-vision, thorough, and rushed transcripts must produce the expected flag pattern. A case whose trap is not detectable is rejected regardless of clinical quality.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Roughly half the pipeline requires no LLM.</w:t>
      </w:r>
      <w:r>
        <w:rPr>
          <w:color w:val="13272F"/>
          <w:sz w:val="20"/>
          <w:szCs w:val="20"/>
        </w:rPr>
        <w:t xml:space="preserve"> Deduplication and vocabulary mapping use embeddings; grounding uses an NLI model; the trap self-test uses plain code. An all-LLM pipeline is the mark of a prototype.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7.3 Blocking constraint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Dataset licences must be verified for commercial use before any Factory code is written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§9.1). Several public medical corpora are non-commercial or prohibit redistribution. The Factory must refuse to publish from a source not marked commercial-safe.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Frontend and mobile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. Split by audience because the surfaces have genuinely different constraints.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86"/>
        <w:gridCol w:w="2426"/>
        <w:gridCol w:w="5548"/>
      </w:tblGrid>
      <w:tr>
        <w:trPr>
          <w:tblHeader/>
        </w:trPr>
        <w:tc>
          <w:tcPr>
            <w:tcW w:type="dxa" w:w="13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Surface</w:t>
            </w:r>
          </w:p>
        </w:tc>
        <w:tc>
          <w:tcPr>
            <w:tcW w:type="dxa" w:w="242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Stack</w:t>
            </w:r>
          </w:p>
        </w:tc>
        <w:tc>
          <w:tcPr>
            <w:tcW w:type="dxa" w:w="55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3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Consumer web</w:t>
            </w:r>
          </w:p>
        </w:tc>
        <w:tc>
          <w:tcPr>
            <w:tcW w:type="dxa" w:w="24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+ TypeScript</w:t>
            </w:r>
          </w:p>
        </w:tc>
        <w:tc>
          <w:tcPr>
            <w:tcW w:type="dxa" w:w="5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Shares patterns and API client with mobile</w:t>
            </w:r>
          </w:p>
        </w:tc>
      </w:tr>
      <w:tr>
        <w:trPr>
          <w:tblHeader w:val="false"/>
        </w:trPr>
        <w:tc>
          <w:tcPr>
            <w:tcW w:type="dxa" w:w="13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Mobile</w:t>
            </w:r>
          </w:p>
        </w:tc>
        <w:tc>
          <w:tcPr>
            <w:tcW w:type="dxa" w:w="24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React Native + Expo</w:t>
            </w:r>
          </w:p>
        </w:tc>
        <w:tc>
          <w:tcPr>
            <w:tcW w:type="dxa" w:w="5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Reuses React model; one codebase → iOS + Android</w:t>
            </w:r>
          </w:p>
        </w:tc>
      </w:tr>
      <w:tr>
        <w:trPr>
          <w:tblHeader w:val="false"/>
        </w:trPr>
        <w:tc>
          <w:tcPr>
            <w:tcW w:type="dxa" w:w="13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</w:t>
            </w:r>
          </w:p>
        </w:tc>
        <w:tc>
          <w:tcPr>
            <w:tcW w:type="dxa" w:w="24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Jinja + HTMX</w:t>
            </w:r>
          </w:p>
        </w:tc>
        <w:tc>
          <w:tcPr>
            <w:tcW w:type="dxa" w:w="5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Internal, form-heavy; does not block API work</w:t>
            </w:r>
          </w:p>
        </w:tc>
      </w:tr>
      <w:tr>
        <w:trPr>
          <w:tblHeader w:val="false"/>
        </w:trPr>
        <w:tc>
          <w:tcPr>
            <w:tcW w:type="dxa" w:w="13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Analytics</w:t>
            </w:r>
          </w:p>
        </w:tc>
        <w:tc>
          <w:tcPr>
            <w:tcW w:type="dxa" w:w="24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Metabase</w:t>
            </w:r>
          </w:p>
        </w:tc>
        <w:tc>
          <w:tcPr>
            <w:tcW w:type="dxa" w:w="5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Buy, don't build</w:t>
            </w:r>
          </w:p>
        </w:tc>
      </w:tr>
      <w:tr>
        <w:trPr>
          <w:tblHeader w:val="false"/>
        </w:trPr>
        <w:tc>
          <w:tcPr>
            <w:tcW w:type="dxa" w:w="13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Backend</w:t>
            </w:r>
          </w:p>
        </w:tc>
        <w:tc>
          <w:tcPr>
            <w:tcW w:type="dxa" w:w="24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 + typed schemas</w:t>
            </w:r>
          </w:p>
        </w:tc>
        <w:tc>
          <w:tcPr>
            <w:tcW w:type="dxa" w:w="5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ADR-0007</w:t>
            </w:r>
            <w:r>
              <w:rPr>
                <w:color w:val="13272F"/>
                <w:sz w:val="17"/>
                <w:szCs w:val="17"/>
              </w:rPr>
              <w:t xml:space="preserve"> — no migration benefit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Types are generated from `openapi.yaml`</w:t>
      </w:r>
      <w:r>
        <w:rPr>
          <w:color w:val="13272F"/>
          <w:sz w:val="20"/>
          <w:szCs w:val="20"/>
        </w:rPr>
        <w:t xml:space="preserve"> and shared between web and mobile. A backend field rename becomes a build-time error rather than a runtime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undefined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8.1 The UX constraints that are architectural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requirements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are not styling preferences — they protect the measurement and must survive any redesign: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092"/>
        <w:gridCol w:w="4268"/>
      </w:tblGrid>
      <w:tr>
        <w:trPr>
          <w:tblHeader/>
        </w:trPr>
        <w:tc>
          <w:tcPr>
            <w:tcW w:type="dxa" w:w="509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2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5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coverage meter, question counter, or hints during a consultation</w:t>
            </w:r>
          </w:p>
        </w:tc>
        <w:tc>
          <w:tcPr>
            <w:tcW w:type="dxa" w:w="42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Showing the metric teaches the metric</w:t>
            </w:r>
          </w:p>
        </w:tc>
      </w:tr>
      <w:tr>
        <w:trPr>
          <w:tblHeader w:val="false"/>
        </w:trPr>
        <w:tc>
          <w:tcPr>
            <w:tcW w:type="dxa" w:w="50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Investigation search filters by name only, never ranked by relevance</w:t>
            </w:r>
          </w:p>
        </w:tc>
        <w:tc>
          <w:tcPr>
            <w:tcW w:type="dxa" w:w="42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Ranking would leak which tests matter</w:t>
            </w:r>
          </w:p>
        </w:tc>
      </w:tr>
      <w:tr>
        <w:trPr>
          <w:tblHeader w:val="false"/>
        </w:trPr>
        <w:tc>
          <w:tcPr>
            <w:tcW w:type="dxa" w:w="5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diagnosis dialog contains no readiness or completeness hint</w:t>
            </w:r>
          </w:p>
        </w:tc>
        <w:tc>
          <w:tcPr>
            <w:tcW w:type="dxa" w:w="42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It would itself be an anti-premature-closure intervention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Enforced by contract tests CT-1, CT-2, CT-3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API_CONTRACT</w:t>
      </w:r>
      <w:r>
        <w:rPr>
          <w:color w:val="13272F"/>
          <w:sz w:val="20"/>
          <w:szCs w:val="20"/>
        </w:rPr>
        <w:t xml:space="preserve"> §11).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Deployment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9.1 Packaging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Multi-stage Docker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ADR-0008</w:t>
      </w:r>
      <w:r>
        <w:rPr>
          <w:color w:val="13272F"/>
          <w:sz w:val="20"/>
          <w:szCs w:val="20"/>
        </w:rPr>
        <w:t xml:space="preserve">). The embedding model is baked into the image so the first request does not pay a download. Gunicorn with 2 workers × 4 threads — LLM calls are I/O-bound, and multiple workers are only safe because session state left process memory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ADR-0003</w:t>
      </w:r>
      <w:r>
        <w:rPr>
          <w:color w:val="13272F"/>
          <w:sz w:val="20"/>
          <w:szCs w:val="20"/>
        </w:rPr>
        <w:t xml:space="preserve">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9.2 Platform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Render or Railway as a Docker web service; Supabase for Postgres, auth and storage. Not Vercel — its serverless model conflicts with a persistent Python service making multi-second LLM calls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ADR-0008</w:t>
      </w:r>
      <w:r>
        <w:rPr>
          <w:color w:val="13272F"/>
          <w:sz w:val="20"/>
          <w:szCs w:val="20"/>
        </w:rPr>
        <w:t xml:space="preserve">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AWS/GCP/Azure yet. Move when the PaaS bill passes roughly $500/month or a structural need appears. Containerisation keeps that migration cheap.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9.3 Environments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86"/>
        <w:gridCol w:w="6174"/>
      </w:tblGrid>
      <w:tr>
        <w:trPr>
          <w:tblHeader/>
        </w:trPr>
        <w:tc>
          <w:tcPr>
            <w:tcW w:type="dxa" w:w="31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617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3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local</w:t>
            </w:r>
          </w:p>
        </w:tc>
        <w:tc>
          <w:tcPr>
            <w:tcW w:type="dxa" w:w="617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docker-compose Postgres, seeded</w:t>
            </w:r>
          </w:p>
        </w:tc>
      </w:tr>
      <w:tr>
        <w:trPr>
          <w:tblHeader w:val="false"/>
        </w:trPr>
        <w:tc>
          <w:tcPr>
            <w:tcW w:type="dxa" w:w="31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preview (per PR)</w:t>
            </w:r>
          </w:p>
        </w:tc>
        <w:tc>
          <w:tcPr>
            <w:tcW w:type="dxa" w:w="617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branch database, seeded</w:t>
            </w:r>
          </w:p>
        </w:tc>
      </w:tr>
      <w:tr>
        <w:trPr>
          <w:tblHeader w:val="false"/>
        </w:trPr>
        <w:tc>
          <w:tcPr>
            <w:tcW w:type="dxa" w:w="3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staging</w:t>
            </w:r>
          </w:p>
        </w:tc>
        <w:tc>
          <w:tcPr>
            <w:tcW w:type="dxa" w:w="617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anonymised copy</w:t>
            </w:r>
          </w:p>
        </w:tc>
      </w:tr>
      <w:tr>
        <w:trPr>
          <w:tblHeader w:val="false"/>
        </w:trPr>
        <w:tc>
          <w:tcPr>
            <w:tcW w:type="dxa" w:w="31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production</w:t>
            </w:r>
          </w:p>
        </w:tc>
        <w:tc>
          <w:tcPr>
            <w:tcW w:type="dxa" w:w="617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9.4 CI/CD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PR:    lint · typecheck · import-linter · tests · DETECTOR VALIDATION · security · docker build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main:  the above → push image → staging → smoke → manual approval → production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detector-validation step is unusual and deliberate:</w:t>
      </w:r>
      <w:r>
        <w:rPr>
          <w:color w:val="13272F"/>
          <w:sz w:val="20"/>
          <w:szCs w:val="20"/>
        </w:rPr>
        <w:t xml:space="preserve"> the build fails if accuracy drops below the published 94 %.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9.5 Database operations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Alembic migrations run as a release command before new revisions take traffic. Expand-migrate-contract for all schema changes. </w:t>
      </w:r>
      <w:r>
        <w:rPr>
          <w:b/>
          <w:bCs/>
          <w:color w:val="13272F"/>
          <w:sz w:val="20"/>
          <w:szCs w:val="20"/>
        </w:rPr>
        <w:t xml:space="preserve">Backup restore verified quarterly</w:t>
      </w:r>
      <w:r>
        <w:rPr>
          <w:color w:val="13272F"/>
          <w:sz w:val="20"/>
          <w:szCs w:val="20"/>
        </w:rPr>
        <w:t xml:space="preserve"> — an unverified backup is not a backup.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Observability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22"/>
        <w:gridCol w:w="8038"/>
      </w:tblGrid>
      <w:tr>
        <w:trPr>
          <w:tblHeader/>
        </w:trPr>
        <w:tc>
          <w:tcPr>
            <w:tcW w:type="dxa" w:w="13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80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</w:tr>
      <w:tr>
        <w:trPr>
          <w:tblHeader w:val="false"/>
        </w:trPr>
        <w:tc>
          <w:tcPr>
            <w:tcW w:type="dxa" w:w="13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Logs</w:t>
            </w:r>
          </w:p>
        </w:tc>
        <w:tc>
          <w:tcPr>
            <w:tcW w:type="dxa" w:w="80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JSON to stdout 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request_id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session_id</w:t>
            </w:r>
            <w:r>
              <w:rPr>
                <w:color w:val="13272F"/>
                <w:sz w:val="17"/>
                <w:szCs w:val="17"/>
              </w:rPr>
              <w:t xml:space="preserve">, pseudonymous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user_id</w:t>
            </w:r>
            <w:r>
              <w:rPr>
                <w:color w:val="13272F"/>
                <w:sz w:val="17"/>
                <w:szCs w:val="17"/>
              </w:rPr>
              <w:t xml:space="preserve">. Never raw question text at INFO, never emails or keys</w:t>
            </w:r>
          </w:p>
        </w:tc>
      </w:tr>
      <w:tr>
        <w:trPr>
          <w:tblHeader w:val="false"/>
        </w:trPr>
        <w:tc>
          <w:tcPr>
            <w:tcW w:type="dxa" w:w="13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Errors</w:t>
            </w:r>
          </w:p>
        </w:tc>
        <w:tc>
          <w:tcPr>
            <w:tcW w:type="dxa" w:w="80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Sentry,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send_default_pii=False</w:t>
            </w:r>
            <w:r>
              <w:rPr>
                <w:color w:val="13272F"/>
                <w:sz w:val="17"/>
                <w:szCs w:val="17"/>
              </w:rPr>
              <w:t xml:space="preserve">, releases tagged</w:t>
            </w:r>
          </w:p>
        </w:tc>
      </w:tr>
      <w:tr>
        <w:trPr>
          <w:tblHeader w:val="false"/>
        </w:trPr>
        <w:tc>
          <w:tcPr>
            <w:tcW w:type="dxa" w:w="13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Health</w:t>
            </w:r>
          </w:p>
        </w:tc>
        <w:tc>
          <w:tcPr>
            <w:tcW w:type="dxa" w:w="80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/healthz</w:t>
            </w:r>
            <w:r>
              <w:rPr>
                <w:color w:val="13272F"/>
                <w:sz w:val="17"/>
                <w:szCs w:val="17"/>
              </w:rPr>
              <w:t xml:space="preserve"> liveness;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/readyz</w:t>
            </w:r>
            <w:r>
              <w:rPr>
                <w:color w:val="13272F"/>
                <w:sz w:val="17"/>
                <w:szCs w:val="17"/>
              </w:rPr>
              <w:t xml:space="preserve"> checks database, migrations, model loaded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10.1 Metrics that matter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49"/>
        <w:gridCol w:w="5652"/>
        <w:gridCol w:w="1059"/>
      </w:tblGrid>
      <w:tr>
        <w:trPr>
          <w:tblHeader/>
        </w:trPr>
        <w:tc>
          <w:tcPr>
            <w:tcW w:type="dxa" w:w="264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565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0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Alert</w:t>
            </w:r>
          </w:p>
        </w:tc>
      </w:tr>
      <w:tr>
        <w:trPr>
          <w:tblHeader w:val="false"/>
        </w:trPr>
        <w:tc>
          <w:tcPr>
            <w:tcW w:type="dxa" w:w="2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patient reply latency</w:t>
            </w:r>
          </w:p>
        </w:tc>
        <w:tc>
          <w:tcPr>
            <w:tcW w:type="dxa" w:w="56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Perceived quality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6 s</w:t>
            </w:r>
          </w:p>
        </w:tc>
      </w:tr>
      <w:tr>
        <w:trPr>
          <w:tblHeader w:val="false"/>
        </w:trPr>
        <w:tc>
          <w:tcPr>
            <w:tcW w:type="dxa" w:w="26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LLM cost per completed session</w:t>
            </w:r>
          </w:p>
        </w:tc>
        <w:tc>
          <w:tcPr>
            <w:tcW w:type="dxa" w:w="56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unit economic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$0.05</w:t>
            </w:r>
          </w:p>
        </w:tc>
      </w:tr>
      <w:tr>
        <w:trPr>
          <w:tblHeader w:val="false"/>
        </w:trPr>
        <w:tc>
          <w:tcPr>
            <w:tcW w:type="dxa" w:w="2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Feedback fallback rate</w:t>
            </w:r>
          </w:p>
        </w:tc>
        <w:tc>
          <w:tcPr>
            <w:tcW w:type="dxa" w:w="56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Model reliability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5 %</w:t>
            </w:r>
          </w:p>
        </w:tc>
      </w:tr>
      <w:tr>
        <w:trPr>
          <w:tblHeader w:val="false"/>
        </w:trPr>
        <w:tc>
          <w:tcPr>
            <w:tcW w:type="dxa" w:w="26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Persona leakage rate</w:t>
            </w:r>
          </w:p>
        </w:tc>
        <w:tc>
          <w:tcPr>
            <w:tcW w:type="dxa" w:w="56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Measurement validity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2 %</w:t>
            </w:r>
          </w:p>
        </w:tc>
      </w:tr>
      <w:tr>
        <w:trPr>
          <w:tblHeader w:val="false"/>
        </w:trPr>
        <w:tc>
          <w:tcPr>
            <w:tcW w:type="dxa" w:w="2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Consultation abandonment</w:t>
            </w:r>
          </w:p>
        </w:tc>
        <w:tc>
          <w:tcPr>
            <w:tcW w:type="dxa" w:w="56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UX and data quality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25 %</w:t>
            </w:r>
          </w:p>
        </w:tc>
      </w:tr>
      <w:tr>
        <w:trPr>
          <w:tblHeader w:val="false"/>
        </w:trPr>
        <w:tc>
          <w:tcPr>
            <w:tcW w:type="dxa" w:w="26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duration</w:t>
            </w:r>
          </w:p>
        </w:tc>
        <w:tc>
          <w:tcPr>
            <w:tcW w:type="dxa" w:w="56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Guards against the embedding upgrade regressing the request path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&gt; 500 ms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Alerting is deliberately small: error rate, latency, circuit breaker open, budget exceeded, failed migration. Nothing else pages.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Security and privacy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11.1 Position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holds </w:t>
      </w:r>
      <w:r>
        <w:rPr>
          <w:b/>
          <w:bCs/>
          <w:color w:val="13272F"/>
          <w:sz w:val="20"/>
          <w:szCs w:val="20"/>
        </w:rPr>
        <w:t xml:space="preserve">educational performance data about identifiable professionals</w:t>
      </w:r>
      <w:r>
        <w:rPr>
          <w:color w:val="13272F"/>
          <w:sz w:val="20"/>
          <w:szCs w:val="20"/>
        </w:rPr>
        <w:t xml:space="preserve">. It holds no patient data — every patient is synthetic. That removes the medical-device and PHI regimes but does not make the data insensitive: a record showing someone reasoned unsafely is reputationally sensitive.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864"/>
        <w:gridCol w:w="5496"/>
      </w:tblGrid>
      <w:tr>
        <w:trPr>
          <w:tblHeader/>
        </w:trPr>
        <w:tc>
          <w:tcPr>
            <w:tcW w:type="dxa" w:w="386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549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rPr>
          <w:tblHeader w:val="false"/>
        </w:trPr>
        <w:tc>
          <w:tcPr>
            <w:tcW w:type="dxa" w:w="3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Cross-user data access</w:t>
            </w:r>
          </w:p>
        </w:tc>
        <w:tc>
          <w:tcPr>
            <w:tcW w:type="dxa" w:w="5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Row-Level Security keyed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auth.uid()</w:t>
            </w:r>
            <w:r>
              <w:rPr>
                <w:color w:val="13272F"/>
                <w:sz w:val="17"/>
                <w:szCs w:val="17"/>
              </w:rPr>
              <w:t xml:space="preserve">, plus application scoping</w:t>
            </w:r>
          </w:p>
        </w:tc>
      </w:tr>
      <w:tr>
        <w:trPr>
          <w:tblHeader w:val="false"/>
        </w:trPr>
        <w:tc>
          <w:tcPr>
            <w:tcW w:type="dxa" w:w="3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Enumeration of another user's session</w:t>
            </w:r>
          </w:p>
        </w:tc>
        <w:tc>
          <w:tcPr>
            <w:tcW w:type="dxa" w:w="5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 rather than 403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§2.7)</w:t>
            </w:r>
          </w:p>
        </w:tc>
      </w:tr>
      <w:tr>
        <w:trPr>
          <w:tblHeader w:val="false"/>
        </w:trPr>
        <w:tc>
          <w:tcPr>
            <w:tcW w:type="dxa" w:w="3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 injection via question input</w:t>
            </w:r>
          </w:p>
        </w:tc>
        <w:tc>
          <w:tcPr>
            <w:tcW w:type="dxa" w:w="5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Questions are user turns; the system prompt is server-side only</w:t>
            </w:r>
          </w:p>
        </w:tc>
      </w:tr>
      <w:tr>
        <w:trPr>
          <w:tblHeader w:val="false"/>
        </w:trPr>
        <w:tc>
          <w:tcPr>
            <w:tcW w:type="dxa" w:w="3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Learner extracts the diagnosis from the model</w:t>
            </w:r>
          </w:p>
        </w:tc>
        <w:tc>
          <w:tcPr>
            <w:tcW w:type="dxa" w:w="5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 rules + leakage detection (§5.3) — imperfect, disclosed</w:t>
            </w:r>
          </w:p>
        </w:tc>
      </w:tr>
      <w:tr>
        <w:trPr>
          <w:tblHeader w:val="false"/>
        </w:trPr>
        <w:tc>
          <w:tcPr>
            <w:tcW w:type="dxa" w:w="3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Credential compromise</w:t>
            </w:r>
          </w:p>
        </w:tc>
        <w:tc>
          <w:tcPr>
            <w:tcW w:type="dxa" w:w="5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Delegated to Supabase Auth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ADR-0002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cost abuse</w:t>
            </w:r>
          </w:p>
        </w:tc>
        <w:tc>
          <w:tcPr>
            <w:tcW w:type="dxa" w:w="5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Per-user and per-session rate limits</w:t>
            </w:r>
          </w:p>
        </w:tc>
      </w:tr>
      <w:tr>
        <w:trPr>
          <w:tblHeader w:val="false"/>
        </w:trPr>
        <w:tc>
          <w:tcPr>
            <w:tcW w:type="dxa" w:w="3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 patient data entered</w:t>
            </w:r>
          </w:p>
        </w:tc>
        <w:tc>
          <w:tcPr>
            <w:tcW w:type="dxa" w:w="5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Input guard, blocked and logged without storing the text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11.2 Support access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Inspecting a learner's session requires a stated reason, is written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audit_log</w:t>
      </w:r>
      <w:r>
        <w:rPr>
          <w:color w:val="13272F"/>
          <w:sz w:val="20"/>
          <w:szCs w:val="20"/>
        </w:rPr>
        <w:t xml:space="preserve">, is time-boxed to 24 hours, and is visible to the user. </w:t>
      </w:r>
      <w:r>
        <w:rPr>
          <w:b/>
          <w:bCs/>
          <w:color w:val="13272F"/>
          <w:sz w:val="20"/>
          <w:szCs w:val="20"/>
        </w:rPr>
        <w:t xml:space="preserve">Admins never impersonate</w:t>
      </w:r>
      <w:r>
        <w:rPr>
          <w:color w:val="13272F"/>
          <w:sz w:val="20"/>
          <w:szCs w:val="20"/>
        </w:rPr>
        <w:t xml:space="preserve">; they view read-only data.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Stricter than most early products, and the right default for professional performance data.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11.3 Legal position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Educational simulation, not clinical guidance.</w:t>
      </w:r>
      <w:r>
        <w:rPr>
          <w:color w:val="13272F"/>
          <w:sz w:val="20"/>
          <w:szCs w:val="20"/>
        </w:rPr>
        <w:t xml:space="preserve"> Maintained in the product, the terms, and store listings. Reinforced by the real-patient-data guard and by mandatory clinical review before publication.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12. Testing strategy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09"/>
        <w:gridCol w:w="5537"/>
        <w:gridCol w:w="2314"/>
      </w:tblGrid>
      <w:tr>
        <w:trPr>
          <w:tblHeader/>
        </w:trPr>
        <w:tc>
          <w:tcPr>
            <w:tcW w:type="dxa" w:w="15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553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3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Unit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— detectors, topics, evaluator, selection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90 % coverage</w:t>
            </w:r>
          </w:p>
        </w:tc>
      </w:tr>
      <w:tr>
        <w:trPr>
          <w:tblHeader w:val="false"/>
        </w:trPr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Property</w:t>
            </w:r>
          </w:p>
        </w:tc>
        <w:tc>
          <w:tcPr>
            <w:tcW w:type="dxa" w:w="55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Invariants: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 ≤ q</w:t>
            </w:r>
            <w:r>
              <w:rPr>
                <w:color w:val="13272F"/>
                <w:sz w:val="17"/>
                <w:szCs w:val="17"/>
              </w:rPr>
              <w:t xml:space="preserve">, scores ∈ [0,1], detected ⇒ score &gt; 0</w:t>
            </w:r>
          </w:p>
        </w:tc>
        <w:tc>
          <w:tcPr>
            <w:tcW w:type="dxa" w:w="23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key functions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invariants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C-1..C-7, especially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C-4 disjointness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case, every build</w:t>
            </w:r>
          </w:p>
        </w:tc>
      </w:tr>
      <w:tr>
        <w:trPr>
          <w:tblHeader w:val="false"/>
        </w:trPr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55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Repositories, migrations,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RLS policies actually deny</w:t>
            </w:r>
          </w:p>
        </w:tc>
        <w:tc>
          <w:tcPr>
            <w:tcW w:type="dxa" w:w="23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main paths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Contract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CT-1..CT-9 — the API leak guards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all, mandatory</w:t>
            </w:r>
          </w:p>
        </w:tc>
      </w:tr>
      <w:tr>
        <w:trPr>
          <w:tblHeader w:val="false"/>
        </w:trPr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E2E</w:t>
            </w:r>
          </w:p>
        </w:tc>
        <w:tc>
          <w:tcPr>
            <w:tcW w:type="dxa" w:w="55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Full consultation → feedback</w:t>
            </w:r>
          </w:p>
        </w:tc>
        <w:tc>
          <w:tcPr>
            <w:tcW w:type="dxa" w:w="23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happy, 2 failure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18 labelled transcripts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94 %, build-blocking</w:t>
            </w:r>
          </w:p>
        </w:tc>
      </w:tr>
      <w:tr>
        <w:trPr>
          <w:tblHeader w:val="false"/>
        </w:trPr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Adversarial</w:t>
            </w:r>
          </w:p>
        </w:tc>
        <w:tc>
          <w:tcPr>
            <w:tcW w:type="dxa" w:w="55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 extraction attempts per case</w:t>
            </w:r>
          </w:p>
        </w:tc>
        <w:tc>
          <w:tcPr>
            <w:tcW w:type="dxa" w:w="23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case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Golden file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16 pilot sessions recompute identically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build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Coverage is enforced on `domain/` only.</w:t>
      </w:r>
      <w:r>
        <w:rPr>
          <w:color w:val="13272F"/>
          <w:sz w:val="20"/>
          <w:szCs w:val="20"/>
        </w:rPr>
        <w:t xml:space="preserve"> Chasing coverage on I/O glue produces tests that assert mocks.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two most important tests in the codebase</w:t>
      </w:r>
      <w:r>
        <w:rPr>
          <w:color w:val="13272F"/>
          <w:sz w:val="20"/>
          <w:szCs w:val="20"/>
        </w:rPr>
        <w:t xml:space="preserve"> are CT-1 (session start leaks no case internals) and CT-5 (no response contains bias vocabulary). One protects the measurement; the other protects the learner.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13. Non-functional requirements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47"/>
        <w:gridCol w:w="4841"/>
        <w:gridCol w:w="3572"/>
      </w:tblGrid>
      <w:tr>
        <w:trPr>
          <w:tblHeader/>
        </w:trPr>
        <w:tc>
          <w:tcPr>
            <w:tcW w:type="dxa" w:w="94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5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NFR-1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Patient reply latency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6 s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NFR-2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computation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500 ms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NFR-3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Page render (non-LLM)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400 ms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NFR-4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99.5 %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NFR-5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Zero data loss for completed consultations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NFR-6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Concurrent consultations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 without degradation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NFR-7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cost per completed session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&lt; $0.05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NFR-8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accuracy on the validation set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94 %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NFR-9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WCAG 2.1 AA on the learner flow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NFR-10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Recovery point objective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≤ 24 h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NFR-6 is deliberately modest. Designing for 10 000 concurrent users would be speculative.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14. Research operations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product is commercial; research participation is </w:t>
      </w:r>
      <w:r>
        <w:rPr>
          <w:b/>
          <w:bCs/>
          <w:color w:val="13272F"/>
          <w:sz w:val="20"/>
          <w:szCs w:val="20"/>
        </w:rPr>
        <w:t xml:space="preserve">opt-in and never default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§10.3). A paying user is never silently placed in a control arm.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Causal claims require a control group.</w:t>
      </w:r>
      <w:r>
        <w:rPr>
          <w:color w:val="13272F"/>
          <w:sz w:val="20"/>
          <w:szCs w:val="20"/>
        </w:rPr>
        <w:t xml:space="preserve"> The pilot showed coverage rising 45.3 % → 79.7 % (</w:t>
      </w:r>
      <w:r>
        <w:rPr>
          <w:i/>
          <w:iCs/>
          <w:color w:val="13272F"/>
          <w:sz w:val="20"/>
          <w:szCs w:val="20"/>
        </w:rPr>
        <w:t xml:space="preserve">p</w:t>
      </w:r>
      <w:r>
        <w:rPr>
          <w:color w:val="13272F"/>
          <w:sz w:val="20"/>
          <w:szCs w:val="20"/>
        </w:rPr>
        <w:t xml:space="preserve"> = 0.036), but every participant received feedback, so improvement cannot be separated from practice effects. A no-feedback control arm resolves this; a </w:t>
      </w:r>
      <w:r>
        <w:rPr>
          <w:b/>
          <w:bCs/>
          <w:color w:val="13272F"/>
          <w:sz w:val="20"/>
          <w:szCs w:val="20"/>
        </w:rPr>
        <w:t xml:space="preserve">wait-list design</w:t>
      </w:r>
      <w:r>
        <w:rPr>
          <w:color w:val="13272F"/>
          <w:sz w:val="20"/>
          <w:szCs w:val="20"/>
        </w:rPr>
        <w:t xml:space="preserve"> — controls receive full feedback when the study closes — resolves the ethical objection and is familiar to ethics committees.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Ethics approval is required before any controlled study.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research export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§11.7) applies three protections in one query: consent required, leakage-confirmed sessions excluded, pseudonymous identifiers only.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15. Open technical questions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13"/>
        <w:gridCol w:w="3643"/>
        <w:gridCol w:w="4804"/>
      </w:tblGrid>
      <w:tr>
        <w:trPr>
          <w:tblHeader/>
        </w:trPr>
        <w:tc>
          <w:tcPr>
            <w:tcW w:type="dxa" w:w="91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48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TS-1</w:t>
            </w:r>
          </w:p>
        </w:tc>
        <w:tc>
          <w:tcPr>
            <w:tcW w:type="dxa" w:w="36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Stream patient replies (SSE)?</w:t>
            </w:r>
          </w:p>
        </w:tc>
        <w:tc>
          <w:tcPr>
            <w:tcW w:type="dxa" w:w="48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in v1. Revisit if p95 stays above 5 s</w:t>
            </w:r>
          </w:p>
        </w:tc>
      </w:tr>
      <w:tr>
        <w:trPr>
          <w:tblHeader w:val="false"/>
        </w:trPr>
        <w:tc>
          <w:tcPr>
            <w:tcW w:type="dxa" w:w="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TS-2</w:t>
            </w:r>
          </w:p>
        </w:tc>
        <w:tc>
          <w:tcPr>
            <w:tcW w:type="dxa" w:w="36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Read replica for analytics?</w:t>
            </w:r>
          </w:p>
        </w:tc>
        <w:tc>
          <w:tcPr>
            <w:tcW w:type="dxa" w:w="48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until analytical queries measurably affect writes</w:t>
            </w:r>
          </w:p>
        </w:tc>
      </w:tr>
      <w:tr>
        <w:trPr>
          <w:tblHeader w:val="false"/>
        </w:trPr>
        <w:tc>
          <w:tcPr>
            <w:tcW w:type="dxa" w:w="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TS-3</w:t>
            </w:r>
          </w:p>
        </w:tc>
        <w:tc>
          <w:tcPr>
            <w:tcW w:type="dxa" w:w="36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Self-host the embedding model or use an API?</w:t>
            </w:r>
          </w:p>
        </w:tc>
        <w:tc>
          <w:tcPr>
            <w:tcW w:type="dxa" w:w="48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Self-host — no per-call cost, no latency, data stays local</w:t>
            </w:r>
          </w:p>
        </w:tc>
      </w:tr>
      <w:tr>
        <w:trPr>
          <w:tblHeader w:val="false"/>
        </w:trPr>
        <w:tc>
          <w:tcPr>
            <w:tcW w:type="dxa" w:w="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TS-4</w:t>
            </w:r>
          </w:p>
        </w:tc>
        <w:tc>
          <w:tcPr>
            <w:tcW w:type="dxa" w:w="36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Partition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?</w:t>
            </w:r>
          </w:p>
        </w:tc>
        <w:tc>
          <w:tcPr>
            <w:tcW w:type="dxa" w:w="48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Revisit past ~50 M rows</w:t>
            </w:r>
          </w:p>
        </w:tc>
      </w:tr>
      <w:tr>
        <w:trPr>
          <w:tblHeader w:val="false"/>
        </w:trPr>
        <w:tc>
          <w:tcPr>
            <w:tcW w:type="dxa" w:w="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TS-5</w:t>
            </w:r>
          </w:p>
        </w:tc>
        <w:tc>
          <w:tcPr>
            <w:tcW w:type="dxa" w:w="36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Multi-region?</w:t>
            </w:r>
          </w:p>
        </w:tc>
        <w:tc>
          <w:tcPr>
            <w:tcW w:type="dxa" w:w="48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Users cluster by institution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Technical Specification. Decisions live in `adr/`; supersede rather than edit.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2026-09-11T05:26:57.264Z</dcterms:created>
  <dcterms:modified xsi:type="dcterms:W3CDTF">2026-09-11T05:26:57.265Z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