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 task, its owner, and whether it is done — generated from BUILD_PLAN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Build Status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Generated 8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95"/>
        <w:gridCol w:w="7565"/>
      </w:tblGrid>
      <w:tr>
        <w:trPr>
          <w:tblHeader/>
        </w:trPr>
        <w:tc>
          <w:tcPr>
            <w:tcW w:type="dxa" w:w="17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5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Generated</w:t>
            </w:r>
          </w:p>
        </w:tc>
        <w:tc>
          <w:tcPr>
            <w:tcW w:type="dxa" w:w="75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2026-09-08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scripts/build_status.py</w:t>
            </w:r>
          </w:p>
        </w:tc>
      </w:tr>
      <w:tr>
        <w:trPr>
          <w:tblHeader w:val="false"/>
        </w:trPr>
        <w:tc>
          <w:tcPr>
            <w:tcW w:type="dxa" w:w="17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Source</w:t>
            </w:r>
          </w:p>
        </w:tc>
        <w:tc>
          <w:tcPr>
            <w:tcW w:type="dxa" w:w="75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  <w:r>
              <w:rPr>
                <w:color w:val="13272F"/>
                <w:sz w:val="17"/>
                <w:szCs w:val="17"/>
              </w:rPr>
              <w:t xml:space="preserve"> (do not edit this file by hand)</w:t>
            </w:r>
          </w:p>
        </w:tc>
      </w:tr>
      <w:tr>
        <w:trPr>
          <w:tblHeader w:val="false"/>
        </w:trPr>
        <w:tc>
          <w:tcPr>
            <w:tcW w:type="dxa" w:w="17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Tasks complete</w:t>
            </w:r>
          </w:p>
        </w:tc>
        <w:tc>
          <w:tcPr>
            <w:tcW w:type="dxa" w:w="75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7 of 34</w:t>
            </w:r>
            <w:r>
              <w:rPr>
                <w:color w:val="13272F"/>
                <w:sz w:val="17"/>
                <w:szCs w:val="17"/>
              </w:rPr>
              <w:t xml:space="preserve"> (21%)</w:t>
            </w:r>
          </w:p>
        </w:tc>
      </w:tr>
      <w:tr>
        <w:trPr>
          <w:tblHeader w:val="false"/>
        </w:trPr>
        <w:tc>
          <w:tcPr>
            <w:tcW w:type="dxa" w:w="17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Effort</w:t>
            </w:r>
          </w:p>
        </w:tc>
        <w:tc>
          <w:tcPr>
            <w:tcW w:type="dxa" w:w="75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 d done · 75 d remaining</w:t>
            </w:r>
          </w:p>
        </w:tc>
      </w:tr>
      <w:tr>
        <w:trPr>
          <w:tblHeader w:val="false"/>
        </w:trPr>
        <w:tc>
          <w:tcPr>
            <w:tcW w:type="dxa" w:w="17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5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7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commit</w:t>
            </w:r>
          </w:p>
        </w:tc>
        <w:tc>
          <w:tcPr>
            <w:tcW w:type="dxa" w:w="75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f48ba82 fix(ci): allowlist test fixtures so gitleaks passes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Estimates are engineering effort only. They do not include the clinical content authoring that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 the real critical path — see the last section.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Phases at a glance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731"/>
        <w:gridCol w:w="695"/>
        <w:gridCol w:w="597"/>
        <w:gridCol w:w="1529"/>
        <w:gridCol w:w="1808"/>
      </w:tblGrid>
      <w:tr>
        <w:trPr>
          <w:tblHeader/>
        </w:trPr>
        <w:tc>
          <w:tcPr>
            <w:tcW w:type="dxa" w:w="47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Tasks</w:t>
            </w:r>
          </w:p>
        </w:tc>
        <w:tc>
          <w:tcPr>
            <w:tcW w:type="dxa" w:w="5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15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 left</w:t>
            </w:r>
          </w:p>
        </w:tc>
        <w:tc>
          <w:tcPr>
            <w:tcW w:type="dxa" w:w="18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7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0 — Foundation</w:t>
            </w:r>
          </w:p>
        </w:tc>
        <w:tc>
          <w:tcPr>
            <w:tcW w:type="dxa" w:w="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1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 d</w:t>
            </w:r>
          </w:p>
        </w:tc>
        <w:tc>
          <w:tcPr>
            <w:tcW w:type="dxa" w:w="1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7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1 — Persistence and accounts</w:t>
            </w:r>
          </w:p>
        </w:tc>
        <w:tc>
          <w:tcPr>
            <w:tcW w:type="dxa" w:w="6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</w:t>
            </w:r>
          </w:p>
        </w:tc>
        <w:tc>
          <w:tcPr>
            <w:tcW w:type="dxa" w:w="5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18 d</w:t>
            </w:r>
          </w:p>
        </w:tc>
        <w:tc>
          <w:tcPr>
            <w:tcW w:type="dxa" w:w="18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7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2 — Admin console P0</w:t>
            </w:r>
          </w:p>
        </w:tc>
        <w:tc>
          <w:tcPr>
            <w:tcW w:type="dxa" w:w="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5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d</w:t>
            </w:r>
          </w:p>
        </w:tc>
        <w:tc>
          <w:tcPr>
            <w:tcW w:type="dxa" w:w="1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7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3 — API and web app</w:t>
            </w:r>
          </w:p>
        </w:tc>
        <w:tc>
          <w:tcPr>
            <w:tcW w:type="dxa" w:w="6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</w:t>
            </w:r>
          </w:p>
        </w:tc>
        <w:tc>
          <w:tcPr>
            <w:tcW w:type="dxa" w:w="5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28 d</w:t>
            </w:r>
          </w:p>
        </w:tc>
        <w:tc>
          <w:tcPr>
            <w:tcW w:type="dxa" w:w="18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7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4 — Commercial readiness</w:t>
            </w:r>
          </w:p>
        </w:tc>
        <w:tc>
          <w:tcPr>
            <w:tcW w:type="dxa" w:w="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</w:t>
            </w:r>
          </w:p>
        </w:tc>
        <w:tc>
          <w:tcPr>
            <w:tcW w:type="dxa" w:w="5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 d</w:t>
            </w:r>
          </w:p>
        </w:tc>
        <w:tc>
          <w:tcPr>
            <w:tcW w:type="dxa" w:w="1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0 — Foundation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7 of 7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3"/>
        <w:gridCol w:w="3939"/>
        <w:gridCol w:w="553"/>
        <w:gridCol w:w="553"/>
        <w:gridCol w:w="598"/>
        <w:gridCol w:w="3164"/>
      </w:tblGrid>
      <w:tr>
        <w:trPr>
          <w:tblHeader/>
        </w:trPr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5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31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T-001</w:t>
            </w:r>
            <w:r>
              <w:rPr>
                <w:color w:val="13272F"/>
                <w:sz w:val="17"/>
                <w:szCs w:val="17"/>
              </w:rPr>
              <w:t xml:space="preserve"> · Restructure into a vpsim/ package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fohmyetwsh3lwcpfdmwbm">
              <w:r>
                <w:rPr>
                  <w:color w:val="1F7A8C"/>
                  <w:sz w:val="17"/>
                  <w:szCs w:val="17"/>
                  <w:u w:val="single"/>
                </w:rPr>
                <w:t xml:space="preserve">T-001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  <w:r>
              <w:rPr>
                <w:color w:val="13272F"/>
                <w:sz w:val="17"/>
                <w:szCs w:val="17"/>
              </w:rPr>
              <w:t xml:space="preserve"> · Test harness and fake LLM gateway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mkz0bnde33uzkspdc4aws">
              <w:r>
                <w:rPr>
                  <w:color w:val="1F7A8C"/>
                  <w:sz w:val="17"/>
                  <w:szCs w:val="17"/>
                  <w:u w:val="single"/>
                </w:rPr>
                <w:t xml:space="preserve">T-002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T-003</w:t>
            </w:r>
            <w:r>
              <w:rPr>
                <w:color w:val="13272F"/>
                <w:sz w:val="17"/>
                <w:szCs w:val="17"/>
              </w:rPr>
              <w:t xml:space="preserve"> · Lexicon disjointness test ⭐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wuoibyqgs2qtno8rflzyc">
              <w:r>
                <w:rPr>
                  <w:color w:val="1F7A8C"/>
                  <w:sz w:val="17"/>
                  <w:szCs w:val="17"/>
                  <w:u w:val="single"/>
                </w:rPr>
                <w:t xml:space="preserve">T-003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  <w:r>
              <w:rPr>
                <w:color w:val="13272F"/>
                <w:sz w:val="17"/>
                <w:szCs w:val="17"/>
              </w:rPr>
              <w:t xml:space="preserve"> · CI pipeline with the validation gate ⭐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2_13-eversbeiijgwv4oc">
              <w:r>
                <w:rPr>
                  <w:color w:val="1F7A8C"/>
                  <w:sz w:val="17"/>
                  <w:szCs w:val="17"/>
                  <w:u w:val="single"/>
                </w:rPr>
                <w:t xml:space="preserve">T-004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T-005</w:t>
            </w:r>
            <w:r>
              <w:rPr>
                <w:color w:val="13272F"/>
                <w:sz w:val="17"/>
                <w:szCs w:val="17"/>
              </w:rPr>
              <w:t xml:space="preserve"> · Docker + docker-compose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4e8kllohhtbannbdkxs_k">
              <w:r>
                <w:rPr>
                  <w:color w:val="1F7A8C"/>
                  <w:sz w:val="17"/>
                  <w:szCs w:val="17"/>
                  <w:u w:val="single"/>
                </w:rPr>
                <w:t xml:space="preserve">T-005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T-006</w:t>
            </w:r>
            <w:r>
              <w:rPr>
                <w:color w:val="13272F"/>
                <w:sz w:val="17"/>
                <w:szCs w:val="17"/>
              </w:rPr>
              <w:t xml:space="preserve"> · Typed configuration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hd__7hf54rgyjyzgdvinj">
              <w:r>
                <w:rPr>
                  <w:color w:val="1F7A8C"/>
                  <w:sz w:val="17"/>
                  <w:szCs w:val="17"/>
                  <w:u w:val="single"/>
                </w:rPr>
                <w:t xml:space="preserve">T-006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T-007</w:t>
            </w:r>
            <w:r>
              <w:rPr>
                <w:color w:val="13272F"/>
                <w:sz w:val="17"/>
                <w:szCs w:val="17"/>
              </w:rPr>
              <w:t xml:space="preserve"> · Structured logging and Sentry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tgomguabllsvkgn89dgin">
              <w:r>
                <w:rPr>
                  <w:color w:val="1F7A8C"/>
                  <w:sz w:val="17"/>
                  <w:szCs w:val="17"/>
                  <w:u w:val="single"/>
                </w:rPr>
                <w:t xml:space="preserve">T-007</w:t>
              </w:r>
            </w:hyperlink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1 — Persistence and accounts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9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69"/>
        <w:gridCol w:w="5404"/>
        <w:gridCol w:w="569"/>
        <w:gridCol w:w="569"/>
        <w:gridCol w:w="1237"/>
        <w:gridCol w:w="1012"/>
      </w:tblGrid>
      <w:tr>
        <w:trPr>
          <w:tblHeader/>
        </w:trPr>
        <w:tc>
          <w:tcPr>
            <w:tcW w:type="dxa" w:w="5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2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0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T-010</w:t>
            </w:r>
            <w:r>
              <w:rPr>
                <w:color w:val="13272F"/>
                <w:sz w:val="17"/>
                <w:szCs w:val="17"/>
              </w:rPr>
              <w:t xml:space="preserve"> · Schema and migrations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2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10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T-011</w:t>
            </w:r>
            <w:r>
              <w:rPr>
                <w:color w:val="13272F"/>
                <w:sz w:val="17"/>
                <w:szCs w:val="17"/>
              </w:rPr>
              <w:t xml:space="preserve"> · Seed content and openapi.yaml skeleton ⭐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</w:t>
            </w:r>
          </w:p>
        </w:tc>
        <w:tc>
          <w:tcPr>
            <w:tcW w:type="dxa" w:w="10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T-012</w:t>
            </w:r>
            <w:r>
              <w:rPr>
                <w:color w:val="13272F"/>
                <w:sz w:val="17"/>
                <w:szCs w:val="17"/>
              </w:rPr>
              <w:t xml:space="preserve"> · Repository layer and tenant scoping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</w:t>
            </w:r>
          </w:p>
        </w:tc>
        <w:tc>
          <w:tcPr>
            <w:tcW w:type="dxa" w:w="10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  <w:r>
              <w:rPr>
                <w:color w:val="13272F"/>
                <w:sz w:val="17"/>
                <w:szCs w:val="17"/>
              </w:rPr>
              <w:t xml:space="preserve"> · Event-sourced session state ⭐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2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  <w:tc>
          <w:tcPr>
            <w:tcW w:type="dxa" w:w="10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T-014</w:t>
            </w:r>
            <w:r>
              <w:rPr>
                <w:color w:val="13272F"/>
                <w:sz w:val="17"/>
                <w:szCs w:val="17"/>
              </w:rPr>
              <w:t xml:space="preserve"> · Supabase Auth integration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  <w:tc>
          <w:tcPr>
            <w:tcW w:type="dxa" w:w="10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T-015</w:t>
            </w:r>
            <w:r>
              <w:rPr>
                <w:color w:val="13272F"/>
                <w:sz w:val="17"/>
                <w:szCs w:val="17"/>
              </w:rPr>
              <w:t xml:space="preserve"> · Anonymous trial sessions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1.5 d</w:t>
            </w:r>
          </w:p>
        </w:tc>
        <w:tc>
          <w:tcPr>
            <w:tcW w:type="dxa" w:w="12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T-013,T-014</w:t>
            </w:r>
          </w:p>
        </w:tc>
        <w:tc>
          <w:tcPr>
            <w:tcW w:type="dxa" w:w="10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T-016</w:t>
            </w:r>
            <w:r>
              <w:rPr>
                <w:color w:val="13272F"/>
                <w:sz w:val="17"/>
                <w:szCs w:val="17"/>
              </w:rPr>
              <w:t xml:space="preserve"> · Assessment from events ⭐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</w:t>
            </w:r>
          </w:p>
        </w:tc>
        <w:tc>
          <w:tcPr>
            <w:tcW w:type="dxa" w:w="10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T-017</w:t>
            </w:r>
            <w:r>
              <w:rPr>
                <w:color w:val="13272F"/>
                <w:sz w:val="17"/>
                <w:szCs w:val="17"/>
              </w:rPr>
              <w:t xml:space="preserve"> · Free-tier allowance and case selection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1.5 d</w:t>
            </w:r>
          </w:p>
        </w:tc>
        <w:tc>
          <w:tcPr>
            <w:tcW w:type="dxa" w:w="12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T-014</w:t>
            </w:r>
          </w:p>
        </w:tc>
        <w:tc>
          <w:tcPr>
            <w:tcW w:type="dxa" w:w="10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T-018</w:t>
            </w:r>
            <w:r>
              <w:rPr>
                <w:color w:val="13272F"/>
                <w:sz w:val="17"/>
                <w:szCs w:val="17"/>
              </w:rPr>
              <w:t xml:space="preserve"> · Pilot data backfill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12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T-016</w:t>
            </w:r>
          </w:p>
        </w:tc>
        <w:tc>
          <w:tcPr>
            <w:tcW w:type="dxa" w:w="10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2 — Admin console P0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4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8"/>
        <w:gridCol w:w="5184"/>
        <w:gridCol w:w="706"/>
        <w:gridCol w:w="558"/>
        <w:gridCol w:w="1295"/>
        <w:gridCol w:w="1059"/>
      </w:tblGrid>
      <w:tr>
        <w:trPr>
          <w:tblHeader/>
        </w:trPr>
        <w:tc>
          <w:tcPr>
            <w:tcW w:type="dxa" w:w="5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1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2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0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T-020</w:t>
            </w:r>
            <w:r>
              <w:rPr>
                <w:color w:val="13272F"/>
                <w:sz w:val="17"/>
                <w:szCs w:val="17"/>
              </w:rPr>
              <w:t xml:space="preserve"> · Admin shell and auth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1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T-014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· Case editor ⭐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d</w:t>
            </w:r>
          </w:p>
        </w:tc>
        <w:tc>
          <w:tcPr>
            <w:tcW w:type="dxa" w:w="12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T-020,T-011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T-022</w:t>
            </w:r>
            <w:r>
              <w:rPr>
                <w:color w:val="13272F"/>
                <w:sz w:val="17"/>
                <w:szCs w:val="17"/>
              </w:rPr>
              <w:t xml:space="preserve"> · Playtest with live instrumentation ⭐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T-021,T-016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T-023</w:t>
            </w:r>
            <w:r>
              <w:rPr>
                <w:color w:val="13272F"/>
                <w:sz w:val="17"/>
                <w:szCs w:val="17"/>
              </w:rPr>
              <w:t xml:space="preserve"> · Clinical review workflow ⭐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T-022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3 — API and web app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8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63"/>
        <w:gridCol w:w="4608"/>
        <w:gridCol w:w="837"/>
        <w:gridCol w:w="563"/>
        <w:gridCol w:w="1534"/>
        <w:gridCol w:w="1255"/>
      </w:tblGrid>
      <w:tr>
        <w:trPr>
          <w:tblHeader/>
        </w:trPr>
        <w:tc>
          <w:tcPr>
            <w:tcW w:type="dxa" w:w="5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6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5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2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T-030</w:t>
            </w:r>
            <w:r>
              <w:rPr>
                <w:color w:val="13272F"/>
                <w:sz w:val="17"/>
                <w:szCs w:val="17"/>
              </w:rPr>
              <w:t xml:space="preserve"> · JSON API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T-016,T-017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T-031</w:t>
            </w:r>
            <w:r>
              <w:rPr>
                <w:color w:val="13272F"/>
                <w:sz w:val="17"/>
                <w:szCs w:val="17"/>
              </w:rPr>
              <w:t xml:space="preserve"> · LLM gateway hardening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T-032</w:t>
            </w:r>
            <w:r>
              <w:rPr>
                <w:color w:val="13272F"/>
                <w:sz w:val="17"/>
                <w:szCs w:val="17"/>
              </w:rPr>
              <w:t xml:space="preserve"> · Next.js scaffold and auth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T-011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T-033</w:t>
            </w:r>
            <w:r>
              <w:rPr>
                <w:color w:val="13272F"/>
                <w:sz w:val="17"/>
                <w:szCs w:val="17"/>
              </w:rPr>
              <w:t xml:space="preserve"> · Dashboard and onboarding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T-032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T-034</w:t>
            </w:r>
            <w:r>
              <w:rPr>
                <w:color w:val="13272F"/>
                <w:sz w:val="17"/>
                <w:szCs w:val="17"/>
              </w:rPr>
              <w:t xml:space="preserve"> · Consultation screen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T-030,T-032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T-035</w:t>
            </w:r>
            <w:r>
              <w:rPr>
                <w:color w:val="13272F"/>
                <w:sz w:val="17"/>
                <w:szCs w:val="17"/>
              </w:rPr>
              <w:t xml:space="preserve"> · Real-patient-data guard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T-034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T-036</w:t>
            </w:r>
            <w:r>
              <w:rPr>
                <w:color w:val="13272F"/>
                <w:sz w:val="17"/>
                <w:szCs w:val="17"/>
              </w:rPr>
              <w:t xml:space="preserve"> · Feedback screen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T-030,T-032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T-037</w:t>
            </w:r>
            <w:r>
              <w:rPr>
                <w:color w:val="13272F"/>
                <w:sz w:val="17"/>
                <w:szCs w:val="17"/>
              </w:rPr>
              <w:t xml:space="preserve"> · History and progress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T-036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4 — Commercial readiness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6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60"/>
        <w:gridCol w:w="4946"/>
        <w:gridCol w:w="760"/>
        <w:gridCol w:w="560"/>
        <w:gridCol w:w="1394"/>
        <w:gridCol w:w="1140"/>
      </w:tblGrid>
      <w:tr>
        <w:trPr>
          <w:tblHeader/>
        </w:trPr>
        <w:tc>
          <w:tcPr>
            <w:tcW w:type="dxa" w:w="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9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3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1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T-040</w:t>
            </w:r>
            <w:r>
              <w:rPr>
                <w:color w:val="13272F"/>
                <w:sz w:val="17"/>
                <w:szCs w:val="17"/>
              </w:rPr>
              <w:t xml:space="preserve"> · Leakage monitor ⭐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T-041</w:t>
            </w:r>
            <w:r>
              <w:rPr>
                <w:color w:val="13272F"/>
                <w:sz w:val="17"/>
                <w:szCs w:val="17"/>
              </w:rPr>
              <w:t xml:space="preserve"> · Stripe subscriptions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T-042</w:t>
            </w:r>
            <w:r>
              <w:rPr>
                <w:color w:val="13272F"/>
                <w:sz w:val="17"/>
                <w:szCs w:val="17"/>
              </w:rPr>
              <w:t xml:space="preserve"> · Pricing and account screens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T-041,T-032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T-043</w:t>
            </w:r>
            <w:r>
              <w:rPr>
                <w:color w:val="13272F"/>
                <w:sz w:val="17"/>
                <w:szCs w:val="17"/>
              </w:rPr>
              <w:t xml:space="preserve"> · AI usage and cost dashboard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T-031,T-020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T-044</w:t>
            </w:r>
            <w:r>
              <w:rPr>
                <w:color w:val="13272F"/>
                <w:sz w:val="17"/>
                <w:szCs w:val="17"/>
              </w:rPr>
              <w:t xml:space="preserve"> · Master list and lexicon editors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T-020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T-045</w:t>
            </w:r>
            <w:r>
              <w:rPr>
                <w:color w:val="13272F"/>
                <w:sz w:val="17"/>
                <w:szCs w:val="17"/>
              </w:rPr>
              <w:t xml:space="preserve"> · Launch readiness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Both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above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⭐ marks a task the plan flags as load-bearing — it protects a property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, unblocks another track, or closes a known risk.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task shows ✅ only when its BUILD_PLAN entry carries a DONE marker. Every completed task has a build log recording what was actually built, where it diverged from the specification, and what debt it left.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Phases 5–7 are not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§9 summarises them as prose rather than itemised tasks — measurement upgrade (11 d), mobile (20 d) and Case Factory (22 d) — and they are expanded when the phase begins. The counts above therefore cover the work through launch, which is what there is to track today.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thing this table cannot show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number above is engineering effort. </w:t>
      </w:r>
      <w:r>
        <w:rPr>
          <w:b/>
          <w:bCs/>
          <w:color w:val="13272F"/>
          <w:sz w:val="20"/>
          <w:szCs w:val="20"/>
        </w:rPr>
        <w:t xml:space="preserve">Ten clinically reviewed cases gate launch and five exist.</w:t>
      </w:r>
      <w:r>
        <w:rPr>
          <w:color w:val="13272F"/>
          <w:sz w:val="20"/>
          <w:szCs w:val="20"/>
        </w:rPr>
        <w:t xml:space="preserve"> No task in this plan produces one: writing a case is clinical authoring, not development, and it needs no developer 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clinician reviewers cannot start until </w:t>
      </w:r>
      <w:r>
        <w:rPr>
          <w:b/>
          <w:bCs/>
          <w:color w:val="13272F"/>
          <w:sz w:val="20"/>
          <w:szCs w:val="20"/>
        </w:rPr>
        <w:t xml:space="preserve">T-021</w:t>
      </w:r>
      <w:r>
        <w:rPr>
          <w:color w:val="13272F"/>
          <w:sz w:val="20"/>
          <w:szCs w:val="20"/>
        </w:rPr>
        <w:t xml:space="preserve"> (case editor) and </w:t>
      </w:r>
      <w:r>
        <w:rPr>
          <w:b/>
          <w:bCs/>
          <w:color w:val="13272F"/>
          <w:sz w:val="20"/>
          <w:szCs w:val="20"/>
        </w:rPr>
        <w:t xml:space="preserve">T-023</w:t>
      </w:r>
      <w:r>
        <w:rPr>
          <w:color w:val="13272F"/>
          <w:sz w:val="20"/>
          <w:szCs w:val="20"/>
        </w:rPr>
        <w:t xml:space="preserve"> (review workflow) exist, because until then only a programmer can read a case. That is 12 days of Phase 2 work away, and authoring the drafts can begin before it.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 this </w:t>
      </w:r>
      <w:r>
        <w:rPr>
          <w:b/>
          <w:bCs/>
          <w:color w:val="13272F"/>
          <w:sz w:val="20"/>
          <w:szCs w:val="20"/>
        </w:rPr>
        <w:t xml:space="preserve">the</w:t>
      </w:r>
      <w:r>
        <w:rPr>
          <w:color w:val="13272F"/>
          <w:sz w:val="20"/>
          <w:szCs w:val="20"/>
        </w:rPr>
        <w:t xml:space="preserve"> risk to the schedule, and it is the one a task tracker makes easy to forget — because it has no task.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ohmyetwsh3lwcpfdmwbm" Type="http://schemas.openxmlformats.org/officeDocument/2006/relationships/hyperlink" Target="T-001-package-restructure.md" TargetMode="External"/><Relationship Id="rIdmkz0bnde33uzkspdc4aws" Type="http://schemas.openxmlformats.org/officeDocument/2006/relationships/hyperlink" Target="T-002-test-harness.md" TargetMode="External"/><Relationship Id="rIdwuoibyqgs2qtno8rflzyc" Type="http://schemas.openxmlformats.org/officeDocument/2006/relationships/hyperlink" Target="T-003-case-invariants.md" TargetMode="External"/><Relationship Id="rId2_13-eversbeiijgwv4oc" Type="http://schemas.openxmlformats.org/officeDocument/2006/relationships/hyperlink" Target="T-004-ci-validation-gate.md" TargetMode="External"/><Relationship Id="rId4e8kllohhtbannbdkxs_k" Type="http://schemas.openxmlformats.org/officeDocument/2006/relationships/hyperlink" Target="T-005-docker-compose.md" TargetMode="External"/><Relationship Id="rIdhd__7hf54rgyjyzgdvinj" Type="http://schemas.openxmlformats.org/officeDocument/2006/relationships/hyperlink" Target="T-006-typed-configuration.md" TargetMode="External"/><Relationship Id="rIdtgomguabllsvkgn89dgin" Type="http://schemas.openxmlformats.org/officeDocument/2006/relationships/hyperlink" Target="T-007-telemetry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2026-09-07T18:34:27.938Z</dcterms:created>
  <dcterms:modified xsi:type="dcterms:W3CDTF">2026-09-07T18:34:27.945Z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