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Everything in the repository, what it is, and whether you need it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VPSim — Project Map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VPSim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Orientation — read this first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in this repository, what it is, and whether you need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Written because the project has grown to ~45 markdown documents, 24 Word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conversions, 16 architecture decisions and 7,200 lines of Python, and it is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longer obvious from the folder names what matters.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If you read one thing here, read §2.</w:t>
      </w:r>
      <w:r>
        <w:rPr>
          <w:color w:val="13272F"/>
          <w:sz w:val="20"/>
          <w:szCs w:val="20"/>
        </w:rPr>
        <w:t xml:space="preserve"> It is the six documents that carry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project. Everything else is supporting material, history, or generated output.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The tree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A-bias-aware-vp-simulator/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CLAUDE.md ★             project context, auto-loaded by Claude every session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README.md               GitHub landing page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vpsim/ ★                THE APPLICATION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domain/             pure logic — no Flask, no Groq, no I/O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content/cases.py      5 clinical cases, 27 exams, 86 investigations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assessment/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├── bias.py ★         the three detectors — the core IP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├── clinical.py       diagnosis verdicts, workup coverage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└── topics.py         TOPIC_KEYWORDS, extract_topics()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session.py            session state transitions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feedback.py           feedback prompt building (no marking)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types.py              shared type aliases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infra/              everything touching the outside world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llm/gateway.py        the ONE place we call a model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telemetry/            JSON logs, redaction, Sentry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storage.py            session JSON read/write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clock.py              the injected clock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session_store.py      ⚠ in-memory, replaced by T-013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feedback.py           calls the gateway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api/routes.py       Flask blueprint — 9 routes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web/                templates and static files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config.py           typed settings, validated at boot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app.py              create_app() · __main__.py runs it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tests/ ★                293 tests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conftest.py               fixtures + the no-network guard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fakes/llm.py              the fake model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domain/                   unit + property tests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test_case_invariants.py   C-1 … C-9 on the case content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test_llm_never_marks.py ★ proves property P1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test_layering.py          proves domain/ stays pure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test_validation_gate.py   proves the 94% gate actually fails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docs/                   see §2–§6 below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report/main.tex         the IEEE research paper (LaTeX source)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sessions/               16 real pilot sessions (JSON)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scripts/build_status.py regenerates the status tracker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validate_detectors.py ★ the 94% gate — research tooling, not the product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analyze_sessions.py     McNemar + Wilcoxon over session JSON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test_api.py             check the Groq key works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Dockerfile              multi-stage, non-root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docker-compose.yml      app + Postgres 16 with pgvector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docker/postgres-init/   extensions created on first start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.github/workflows/ci.yml ★ the six CI checks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.github/BRANCH_PROTECTION.md  the manual GitHub setting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pyproject.toml          dependencies, coverage gate, layering contract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.env.example            every setting documented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└── .gitleaks.toml          secret-scanner allowlist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★ = the files that carry the most weight.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The six documents that matter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someone asks </w:t>
      </w:r>
      <w:r>
        <w:rPr>
          <w:i/>
          <w:iCs/>
          <w:color w:val="13272F"/>
          <w:sz w:val="20"/>
          <w:szCs w:val="20"/>
        </w:rPr>
        <w:t xml:space="preserve">"what is this project"</w:t>
      </w:r>
      <w:r>
        <w:rPr>
          <w:color w:val="13272F"/>
          <w:sz w:val="20"/>
          <w:szCs w:val="20"/>
        </w:rPr>
        <w:t xml:space="preserve">, these answer it. Everything in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is the </w:t>
      </w:r>
      <w:r>
        <w:rPr>
          <w:b/>
          <w:bCs/>
          <w:color w:val="13272F"/>
          <w:sz w:val="20"/>
          <w:szCs w:val="20"/>
        </w:rPr>
        <w:t xml:space="preserve">build contract</w:t>
      </w:r>
      <w:r>
        <w:rPr>
          <w:color w:val="13272F"/>
          <w:sz w:val="20"/>
          <w:szCs w:val="20"/>
        </w:rPr>
        <w:t xml:space="preserve"> — written before the code, and the thing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code is checked against.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68"/>
        <w:gridCol w:w="706"/>
        <w:gridCol w:w="5491"/>
        <w:gridCol w:w="2195"/>
      </w:tblGrid>
      <w:tr>
        <w:trPr>
          <w:tblHeader/>
        </w:trPr>
        <w:tc>
          <w:tcPr>
            <w:tcW w:type="dxa" w:w="9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7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54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answers</w:t>
            </w:r>
          </w:p>
        </w:tc>
        <w:tc>
          <w:tcPr>
            <w:tcW w:type="dxa" w:w="21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 it when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PRD.md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6,200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are we building and why? 12 requirements, 5 product principles, 8 open decisions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Scope questions, "should it do X?"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UX_SPEC.md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11,900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screen, control, empty state, error state. 21 consumer screens + 10 admin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Building any screen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DATA_MODEL.md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6,800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table, column, index, constraint. Real SQL. RLS policies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 schema or migration work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API_CONTRACT.md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3,700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endpoint, request/response shape, error codes, rate limits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Building or calling an endpoint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TECH_SPEC.md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4,000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Architecture. How a request flows, where the layers are, deployment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Understanding how it fits together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4,000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work, as 34 sequenced tasks with done-definitions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Start here to build anything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Plus two added during Phase 0: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685"/>
        <w:gridCol w:w="931"/>
        <w:gridCol w:w="6744"/>
      </w:tblGrid>
      <w:tr>
        <w:trPr>
          <w:tblHeader/>
        </w:trPr>
        <w:tc>
          <w:tcPr>
            <w:tcW w:type="dxa" w:w="1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9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67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answers</w:t>
            </w:r>
          </w:p>
        </w:tc>
      </w:tr>
      <w:tr>
        <w:trPr>
          <w:tblHeader w:val="false"/>
        </w:trPr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TEST_STRATEGY.md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3,900</w:t>
            </w:r>
          </w:p>
        </w:tc>
        <w:tc>
          <w:tcPr>
            <w:tcW w:type="dxa" w:w="67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each kind of test can and — more importantly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cannot</w:t>
            </w:r>
            <w:r>
              <w:rPr>
                <w:color w:val="13272F"/>
                <w:sz w:val="17"/>
                <w:szCs w:val="17"/>
              </w:rPr>
              <w:t xml:space="preserve"> catch</w:t>
            </w:r>
          </w:p>
        </w:tc>
      </w:tr>
      <w:tr>
        <w:trPr>
          <w:tblHeader w:val="false"/>
        </w:trPr>
        <w:tc>
          <w:tcPr>
            <w:tcW w:type="dxa" w:w="1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SECURITY_SPEC.md</w:t>
            </w:r>
          </w:p>
        </w:tc>
        <w:tc>
          <w:tcPr>
            <w:tcW w:type="dxa" w:w="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4,400</w:t>
            </w:r>
          </w:p>
        </w:tc>
        <w:tc>
          <w:tcPr>
            <w:tcW w:type="dxa" w:w="67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Who would attack this, what stops them, what to do on a breach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And the ADRs — `docs/spec/adr/`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16 files, one decision each, one page each.</w:t>
      </w:r>
      <w:r>
        <w:rPr>
          <w:color w:val="13272F"/>
          <w:sz w:val="20"/>
          <w:szCs w:val="20"/>
        </w:rPr>
        <w:t xml:space="preserve"> Read these </w:t>
      </w:r>
      <w:r>
        <w:rPr>
          <w:i/>
          <w:iCs/>
          <w:color w:val="13272F"/>
          <w:sz w:val="20"/>
          <w:szCs w:val="20"/>
        </w:rPr>
        <w:t xml:space="preserve">before</w:t>
      </w:r>
      <w:r>
        <w:rPr>
          <w:color w:val="13272F"/>
          <w:sz w:val="20"/>
          <w:szCs w:val="20"/>
        </w:rPr>
        <w:t xml:space="preserve"> re-arguing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anything. Each says what was decided, what the alternatives were, and why they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51"/>
        <w:gridCol w:w="8009"/>
      </w:tblGrid>
      <w:tr>
        <w:trPr>
          <w:tblHeader/>
        </w:trPr>
        <w:tc>
          <w:tcPr>
            <w:tcW w:type="dxa" w:w="13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0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0001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PostgreSQL with pgvector on Supabase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0002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Auth, not custom authentication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0003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Event-sourced session state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0004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Rule-based bias detection, NOT machine learning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0005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LLM is excluded from the marking path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0006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Next.js for the consumer app, Jinja+HTMX for admin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0007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Retain Flask, do not migrate to FastAPI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0008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 to Render, not Vercel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0009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Modular monolith, not microservices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0010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Cases are immutable and versioned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0011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Per-job LLM routing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0012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NLI for grounding, not an LLM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0013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Prebuilt embeddings first, fine-tune later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0014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case retirement — use variants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0015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Direct-to-consumer, institutional path preserved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0004 and 0005 are the two that define the project.</w:t>
      </w:r>
      <w:r>
        <w:rPr>
          <w:color w:val="13272F"/>
          <w:sz w:val="20"/>
          <w:szCs w:val="20"/>
        </w:rPr>
        <w:t xml:space="preserve"> If you explain nothing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else in a viva, explain those: the detectors are deterministic Python, and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language model never produces a score. That is what makes results reproducible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defensible.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ADR_LOG.md</w:t>
      </w:r>
      <w:r>
        <w:rPr>
          <w:color w:val="13272F"/>
          <w:sz w:val="20"/>
          <w:szCs w:val="20"/>
        </w:rPr>
        <w:t xml:space="preserve"> is an index of all 16 in one file.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`docs/build-log/` — what was actually built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is the promise. This folder is the record.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40"/>
        <w:gridCol w:w="7920"/>
      </w:tblGrid>
      <w:tr>
        <w:trPr>
          <w:tblHeader/>
        </w:trPr>
        <w:tc>
          <w:tcPr>
            <w:tcW w:type="dxa" w:w="14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9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1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9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progress tracker. 7 of 34 tasks. Start here.</w:t>
            </w:r>
            <w:r>
              <w:rPr>
                <w:color w:val="13272F"/>
                <w:sz w:val="17"/>
                <w:szCs w:val="17"/>
              </w:rPr>
              <w:t xml:space="preserve"> Generated — never edit by hand</w:t>
            </w:r>
          </w:p>
        </w:tc>
      </w:tr>
      <w:tr>
        <w:trPr>
          <w:tblHeader w:val="false"/>
        </w:trPr>
        <w:tc>
          <w:tcPr>
            <w:tcW w:type="dxa" w:w="1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README.md</w:t>
            </w:r>
          </w:p>
        </w:tc>
        <w:tc>
          <w:tcPr>
            <w:tcW w:type="dxa" w:w="79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convention: 11 mandatory sections every task doc must have</w:t>
            </w:r>
          </w:p>
        </w:tc>
      </w:tr>
      <w:tr>
        <w:trPr>
          <w:tblHeader w:val="false"/>
        </w:trPr>
        <w:tc>
          <w:tcPr>
            <w:tcW w:type="dxa" w:w="1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 … T-007</w:t>
            </w:r>
          </w:p>
        </w:tc>
        <w:tc>
          <w:tcPr>
            <w:tcW w:type="dxa" w:w="79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One document per completed task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Each task document contains: what was built, the actual commands, **where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work diverged from the specification and why**, the real error text for every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problem hit, what changed for you, and what debt was left behind.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"where we diverged" section is the one that stops a mismatch between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spec and the code looking like a mistake three weeks later.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Regenerate the tracker after finishing a task: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`docs/process/` — how we work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95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1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COMMANDS.md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9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Every terminal command, grouped by what you want to do.</w:t>
            </w:r>
            <w:r>
              <w:rPr>
                <w:color w:val="13272F"/>
                <w:sz w:val="17"/>
                <w:szCs w:val="17"/>
              </w:rPr>
              <w:t xml:space="preserve"> §7 is the troubleshooting section — every error we have actually hit, with its fix</w:t>
            </w:r>
          </w:p>
        </w:tc>
      </w:tr>
      <w:tr>
        <w:trPr>
          <w:tblHeader w:val="false"/>
        </w:trPr>
        <w:tc>
          <w:tcPr>
            <w:tcW w:type="dxa" w:w="1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WINDOWS_SETUP.md</w:t>
            </w:r>
          </w:p>
        </w:tc>
        <w:tc>
          <w:tcPr>
            <w:tcW w:type="dxa" w:w="79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Yogesh's onboarding — install, configure, and the PR workflow now that `main` is protected</w:t>
            </w:r>
          </w:p>
        </w:tc>
      </w:tr>
      <w:tr>
        <w:trPr>
          <w:tblHeader w:val="false"/>
        </w:trPr>
        <w:tc>
          <w:tcPr>
            <w:tcW w:type="dxa" w:w="1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AI_BUILD_PROMPT.md</w:t>
            </w:r>
          </w:p>
        </w:tc>
        <w:tc>
          <w:tcPr>
            <w:tcW w:type="dxa" w:w="79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reusable brief for working with an AI on a project: spec first, one task at a time, stop and report</w:t>
            </w:r>
          </w:p>
        </w:tc>
      </w:tr>
      <w:tr>
        <w:trPr>
          <w:tblHeader w:val="false"/>
        </w:trPr>
        <w:tc>
          <w:tcPr>
            <w:tcW w:type="dxa" w:w="1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USAGE.md</w:t>
            </w:r>
          </w:p>
        </w:tc>
        <w:tc>
          <w:tcPr>
            <w:tcW w:type="dxa" w:w="79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How to adapt that prompt, and why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  <w:r>
              <w:rPr>
                <w:color w:val="13272F"/>
                <w:sz w:val="17"/>
                <w:szCs w:val="17"/>
              </w:rPr>
              <w:t xml:space="preserve"> matters more than any pasted prompt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The rest of `docs/` — supporting material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`docs/Main Research Paper/` and `docs/Other Research Paper/`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12 PDFs.</w:t>
      </w:r>
      <w:r>
        <w:rPr>
          <w:color w:val="13272F"/>
          <w:sz w:val="20"/>
          <w:szCs w:val="20"/>
        </w:rPr>
        <w:t xml:space="preserve"> The academic literature the project is built on — patient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simulation with LLMs, anchoring bias, premature closure detection, explainable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reasoning. This is the reading behind the research, not documentation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software.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`docs/design/` — ⚠️ SUPERSEDED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316"/>
        <w:gridCol w:w="964"/>
        <w:gridCol w:w="6080"/>
      </w:tblGrid>
      <w:tr>
        <w:trPr>
          <w:tblHeader/>
        </w:trPr>
        <w:tc>
          <w:tcPr>
            <w:tcW w:type="dxa" w:w="23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9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60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3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PLATFORM_SPEC.md</w:t>
            </w:r>
          </w:p>
        </w:tc>
        <w:tc>
          <w:tcPr>
            <w:tcW w:type="dxa" w:w="9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12,400</w:t>
            </w:r>
          </w:p>
        </w:tc>
        <w:tc>
          <w:tcPr>
            <w:tcW w:type="dxa" w:w="60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superseded — cited 15× by current specs</w:t>
            </w:r>
          </w:p>
        </w:tc>
      </w:tr>
      <w:tr>
        <w:trPr>
          <w:tblHeader w:val="false"/>
        </w:trPr>
        <w:tc>
          <w:tcPr>
            <w:tcW w:type="dxa" w:w="23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SYSTEM_DESIGN.md</w:t>
            </w:r>
          </w:p>
        </w:tc>
        <w:tc>
          <w:tcPr>
            <w:tcW w:type="dxa" w:w="9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10,900</w:t>
            </w:r>
          </w:p>
        </w:tc>
        <w:tc>
          <w:tcPr>
            <w:tcW w:type="dxa" w:w="60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superseded — historical record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not build from these.</w:t>
      </w:r>
      <w:r>
        <w:rPr>
          <w:color w:val="13272F"/>
          <w:sz w:val="20"/>
          <w:szCs w:val="20"/>
        </w:rPr>
        <w:t xml:space="preserve"> Both now open with a SUPERSEDED banner saying so,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 the markdown and the Word versions.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They are kept rather than deleted for two concrete reasons: the current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specifications still </w:t>
      </w:r>
      <w:r>
        <w:rPr>
          <w:b/>
          <w:bCs/>
          <w:color w:val="13272F"/>
          <w:sz w:val="20"/>
          <w:szCs w:val="20"/>
        </w:rPr>
        <w:t xml:space="preserve">cite `PLATFORM_SPEC` 15 times</w:t>
      </w:r>
      <w:r>
        <w:rPr>
          <w:color w:val="13272F"/>
          <w:sz w:val="20"/>
          <w:szCs w:val="20"/>
        </w:rPr>
        <w:t xml:space="preserve"> for detail not carried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forward (DATA_MODEL, BUILD_PLAN, TECH_SPEC, UX_SPEC),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TECH_SPEC</w:t>
      </w:r>
      <w:r>
        <w:rPr>
          <w:color w:val="13272F"/>
          <w:sz w:val="20"/>
          <w:szCs w:val="20"/>
        </w:rPr>
        <w:t xml:space="preserve"> §1.2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keeps them deliberately as the record of how the design evolved — which is what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makes the frontend reversal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ADR-0006</w:t>
      </w:r>
      <w:r>
        <w:rPr>
          <w:color w:val="13272F"/>
          <w:sz w:val="20"/>
          <w:szCs w:val="20"/>
        </w:rPr>
        <w:t xml:space="preserve"> legible.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Deleting them would break 15 live cross-references and lose the reasoning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behind a decision that was reversed.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Loose files in `docs/`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18"/>
        <w:gridCol w:w="7342"/>
      </w:tblGrid>
      <w:tr>
        <w:trPr>
          <w:tblHeader/>
        </w:trPr>
        <w:tc>
          <w:tcPr>
            <w:tcW w:type="dxa" w:w="20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34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detector_validation.md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Generated</w:t>
            </w:r>
            <w:r>
              <w:rPr>
                <w:color w:val="13272F"/>
                <w:sz w:val="17"/>
                <w:szCs w:val="17"/>
              </w:rPr>
              <w:t xml:space="preserve"> by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. The 94% result, per detector, per transcript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cases_design.md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Early design notes on how the 5 clinical cases were constructed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pseudocode.md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Early algorithm sketches for the detectors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references.md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Bibliography for the research paper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journal.md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 notes from the research phase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Sprint_Plan.docx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original coursework sprint plan — historical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five predate the build specification. They are useful for the </w:t>
      </w:r>
      <w:r>
        <w:rPr>
          <w:b/>
          <w:bCs/>
          <w:color w:val="13272F"/>
          <w:sz w:val="20"/>
          <w:szCs w:val="20"/>
        </w:rPr>
        <w:t xml:space="preserve">research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story (viva, report) and are not the source of truth for the </w:t>
      </w:r>
      <w:r>
        <w:rPr>
          <w:b/>
          <w:bCs/>
          <w:color w:val="13272F"/>
          <w:sz w:val="20"/>
          <w:szCs w:val="20"/>
        </w:rPr>
        <w:t xml:space="preserve">software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The `.docx` files — what they are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specification, build log and process document has a Word version sitting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next to it. </w:t>
      </w:r>
      <w:r>
        <w:rPr>
          <w:b/>
          <w:bCs/>
          <w:color w:val="13272F"/>
          <w:sz w:val="20"/>
          <w:szCs w:val="20"/>
        </w:rPr>
        <w:t xml:space="preserve">The `.md` is the source; the `.docx` is a conversion.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They exist so documents can be opened in Google Docs, shared with a supervisor,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or printed. They are generated by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docs/spec/md2docx.js</w:t>
      </w:r>
      <w:r>
        <w:rPr>
          <w:color w:val="13272F"/>
          <w:sz w:val="20"/>
          <w:szCs w:val="20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NODE_PATH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homebrew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node_modules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spec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md2docx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js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\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input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output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"Part of"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Edit the `.md`, then regenerate the `.docx`.</w:t>
      </w:r>
      <w:r>
        <w:rPr>
          <w:color w:val="13272F"/>
          <w:sz w:val="20"/>
          <w:szCs w:val="20"/>
        </w:rPr>
        <w:t xml:space="preserve"> Editing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.docx</w:t>
      </w:r>
      <w:r>
        <w:rPr>
          <w:color w:val="13272F"/>
          <w:sz w:val="20"/>
          <w:szCs w:val="20"/>
        </w:rPr>
        <w:t xml:space="preserve"> directly means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disagree and the markdown — which is what everyone actually reads in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repository — silently becomes wrong.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59"/>
        <w:gridCol w:w="7901"/>
      </w:tblGrid>
      <w:tr>
        <w:trPr>
          <w:tblHeader/>
        </w:trPr>
        <w:tc>
          <w:tcPr>
            <w:tcW w:type="dxa" w:w="14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790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Files</w:t>
            </w:r>
          </w:p>
        </w:tc>
      </w:tr>
      <w:tr>
        <w:trPr>
          <w:tblHeader w:val="false"/>
        </w:trPr>
        <w:tc>
          <w:tcPr>
            <w:tcW w:type="dxa" w:w="14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</w:t>
            </w:r>
          </w:p>
        </w:tc>
        <w:tc>
          <w:tcPr>
            <w:tcW w:type="dxa" w:w="79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 — PRD, UX, Data Model, API, Tech Spec, Test Strategy, Security, Build Plan, ADRs</w:t>
            </w:r>
          </w:p>
        </w:tc>
      </w:tr>
      <w:tr>
        <w:trPr>
          <w:tblHeader w:val="false"/>
        </w:trPr>
        <w:tc>
          <w:tcPr>
            <w:tcW w:type="dxa" w:w="14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</w:t>
            </w:r>
          </w:p>
        </w:tc>
        <w:tc>
          <w:tcPr>
            <w:tcW w:type="dxa" w:w="79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 — the 7 task logs, the convention, the status tracker</w:t>
            </w:r>
          </w:p>
        </w:tc>
      </w:tr>
      <w:tr>
        <w:trPr>
          <w:tblHeader w:val="false"/>
        </w:trPr>
        <w:tc>
          <w:tcPr>
            <w:tcW w:type="dxa" w:w="14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</w:t>
            </w:r>
          </w:p>
        </w:tc>
        <w:tc>
          <w:tcPr>
            <w:tcW w:type="dxa" w:w="79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— commands, build prompt, usage</w:t>
            </w:r>
          </w:p>
        </w:tc>
      </w:tr>
      <w:tr>
        <w:trPr>
          <w:tblHeader w:val="false"/>
        </w:trPr>
        <w:tc>
          <w:tcPr>
            <w:tcW w:type="dxa" w:w="14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docs/design/</w:t>
            </w:r>
          </w:p>
        </w:tc>
        <w:tc>
          <w:tcPr>
            <w:tcW w:type="dxa" w:w="79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— the superseded designs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Where to start, by what you are doing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058"/>
        <w:gridCol w:w="6302"/>
      </w:tblGrid>
      <w:tr>
        <w:trPr>
          <w:tblHeader/>
        </w:trPr>
        <w:tc>
          <w:tcPr>
            <w:tcW w:type="dxa" w:w="30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You want to…</w:t>
            </w:r>
          </w:p>
        </w:tc>
        <w:tc>
          <w:tcPr>
            <w:tcW w:type="dxa" w:w="630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Read, in order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the project at all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  <w:r>
              <w:rPr>
                <w:color w:val="13272F"/>
                <w:sz w:val="17"/>
                <w:szCs w:val="17"/>
              </w:rPr>
              <w:t xml:space="preserve"> → this file →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docs/spec/README.md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Know what is done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docs/build-log/STATUS.md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Build the next thing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→ find the task → read only its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Spec</w:t>
            </w:r>
            <w:r>
              <w:rPr>
                <w:color w:val="13272F"/>
                <w:sz w:val="17"/>
                <w:szCs w:val="17"/>
              </w:rPr>
              <w:t xml:space="preserve"> refs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a past decision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  <w:r>
              <w:rPr>
                <w:color w:val="13272F"/>
                <w:sz w:val="17"/>
                <w:szCs w:val="17"/>
              </w:rPr>
              <w:t xml:space="preserve"> — find the number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what was already built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docs/build-log/T-xxx-*.md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Run something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docs/process/COMMANDS.md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Explain the research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report/main.tex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docs/detector_validation.md</w:t>
            </w:r>
            <w:r>
              <w:rPr>
                <w:color w:val="13272F"/>
                <w:sz w:val="17"/>
                <w:szCs w:val="17"/>
              </w:rPr>
              <w:t xml:space="preserve">, ADR-0004 and ADR-0005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Prepare for a viva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ADR-0004, ADR-0005,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TEST_STRATEGY.md</w:t>
            </w:r>
            <w:r>
              <w:rPr>
                <w:color w:val="13272F"/>
                <w:sz w:val="17"/>
                <w:szCs w:val="17"/>
              </w:rPr>
              <w:t xml:space="preserve"> §6,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docs/detector_validation.md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Known gaps in the repository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Stated so they are not discovered at a bad moment.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41"/>
        <w:gridCol w:w="7819"/>
      </w:tblGrid>
      <w:tr>
        <w:trPr>
          <w:tblHeader/>
        </w:trPr>
        <w:tc>
          <w:tcPr>
            <w:tcW w:type="dxa" w:w="15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  <w:tc>
          <w:tcPr>
            <w:tcW w:type="dxa" w:w="781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15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compiled PDF of the paper</w:t>
            </w:r>
          </w:p>
        </w:tc>
        <w:tc>
          <w:tcPr>
            <w:tcW w:type="dxa" w:w="78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report/</w:t>
            </w:r>
            <w:r>
              <w:rPr>
                <w:color w:val="13272F"/>
                <w:sz w:val="17"/>
                <w:szCs w:val="17"/>
              </w:rPr>
              <w:t xml:space="preserve"> contains only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main.tex</w:t>
            </w:r>
            <w:r>
              <w:rPr>
                <w:color w:val="13272F"/>
                <w:sz w:val="17"/>
                <w:szCs w:val="17"/>
              </w:rPr>
              <w:t xml:space="preserve">. The built PDF is not in git</w:t>
            </w:r>
          </w:p>
        </w:tc>
      </w:tr>
      <w:tr>
        <w:trPr>
          <w:tblHeader w:val="false"/>
        </w:trPr>
        <w:tc>
          <w:tcPr>
            <w:tcW w:type="dxa" w:w="15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presentation in the repo</w:t>
            </w:r>
          </w:p>
        </w:tc>
        <w:tc>
          <w:tcPr>
            <w:tcW w:type="dxa" w:w="78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16-slide deck is not tracked. If it exists, it is only on a local machine</w:t>
            </w:r>
          </w:p>
        </w:tc>
      </w:tr>
      <w:tr>
        <w:trPr>
          <w:tblHeader w:val="false"/>
        </w:trPr>
        <w:tc>
          <w:tcPr>
            <w:tcW w:type="dxa" w:w="15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Phases 5–7 are not itemised</w:t>
            </w:r>
          </w:p>
        </w:tc>
        <w:tc>
          <w:tcPr>
            <w:tcW w:type="dxa" w:w="78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</w:t>
            </w:r>
            <w:r>
              <w:rPr>
                <w:color w:val="13272F"/>
                <w:sz w:val="17"/>
                <w:szCs w:val="17"/>
              </w:rPr>
              <w:t xml:space="preserve"> §9 summarises them as prose. 53 further days of work with no task breakdown yet</w:t>
            </w:r>
          </w:p>
        </w:tc>
      </w:tr>
      <w:tr>
        <w:trPr>
          <w:tblHeader w:val="false"/>
        </w:trPr>
        <w:tc>
          <w:tcPr>
            <w:tcW w:type="dxa" w:w="15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8 open product decisions</w:t>
            </w:r>
          </w:p>
        </w:tc>
        <w:tc>
          <w:tcPr>
            <w:tcW w:type="dxa" w:w="78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§11 — price, free-tier limit, launch case count, product name. These become gating code, so they need answering before the schema is final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Generated 8 September 2026. Regenerate the tree if the layout changes.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VPSim — System Design &amp; Engineering Specification</dc:title>
  <dc:creator>Vraj Patel, Yogesh Bagotia</dc:creator>
  <cp:lastModifiedBy>Un-named</cp:lastModifiedBy>
  <cp:revision>1</cp:revision>
  <dcterms:created xsi:type="dcterms:W3CDTF">2026-09-08T07:45:33.873Z</dcterms:created>
  <dcterms:modified xsi:type="dcterms:W3CDTF">2026-09-08T07:45:33.879Z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