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SUPABASE DEPLOYMENT</w:t>
      </w:r>
    </w:p>
    <w:p>
      <w:r>
        <w:rPr>
          <w:i/>
          <w:sz w:val="17"/>
        </w:rPr>
        <w:t>Nidan · generated from docs/process/SUPABASE_DEPLOYMENT.md on 2026-09-20</w:t>
      </w:r>
    </w:p>
    <w:p>
      <w:pPr>
        <w:pStyle w:val="Heading1"/>
      </w:pPr>
      <w:r>
        <w:t>Deploying the database to Supabase</w:t>
      </w:r>
    </w:p>
    <w:p>
      <w:r>
        <w:rPr>
          <w:b/>
        </w:rPr>
        <w:t>Read this before touching a production project.</w:t>
      </w:r>
      <w:r>
        <w:t xml:space="preserve"> It is written for the day</w:t>
      </w:r>
    </w:p>
    <w:p>
      <w:r>
        <w:t>someone has to do it, not for today.</w:t>
      </w:r>
    </w:p>
    <w:p/>
    <w:p>
      <w:pPr>
        <w:pStyle w:val="Heading2"/>
      </w:pPr>
      <w:r>
        <w:t>1 · The thing everyone expects, and why it is wrong</w:t>
      </w:r>
    </w:p>
    <w:p>
      <w:pPr>
        <w:ind w:left="480"/>
      </w:pPr>
      <w:r>
        <w:rPr>
          <w:i/>
        </w:rPr>
        <w:t>"Which file do I upload to Supabase so the database works?"</w:t>
      </w:r>
    </w:p>
    <w:p>
      <w:r>
        <w:rPr>
          <w:b/>
        </w:rPr>
        <w:t>There is no file to upload.</w:t>
      </w:r>
      <w:r>
        <w:t xml:space="preserve"> Nothing in this repository is a database dump,</w:t>
      </w:r>
    </w:p>
    <w:p>
      <w:r>
        <w:t>and pasting SQL into Supabase's editor is the wrong way to build this schema.</w:t>
      </w:r>
    </w:p>
    <w:p>
      <w:r>
        <w:t xml:space="preserve">The schema is </w:t>
      </w:r>
      <w:r>
        <w:rPr>
          <w:b/>
        </w:rPr>
        <w:t>21 ordered migrations</w:t>
      </w:r>
      <w:r>
        <w:t xml:space="preserve"> in </w:t>
      </w:r>
      <w:r>
        <w:rPr>
          <w:rFonts w:ascii="Consolas" w:hAnsi="Consolas"/>
          <w:sz w:val="19"/>
        </w:rPr>
        <w:t>migrations/versions/</w:t>
      </w:r>
      <w:r>
        <w:t>, applied by</w:t>
      </w:r>
    </w:p>
    <w:p>
      <w:r>
        <w:t>Alembic against Supabase's PostgreSQL over a normal connection: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DATABASE_URL="&lt;supabase connection string&gt;" alembic upgrade head</w:t>
      </w:r>
    </w:p>
    <w:p>
      <w:r>
        <w:t>That is the entire deployment. Supabase is just a hosted PostgreSQL; the</w:t>
      </w:r>
    </w:p>
    <w:p>
      <w:r>
        <w:t>migrations do not know or care that it is Supabase.</w:t>
      </w:r>
    </w:p>
    <w:p>
      <w:r>
        <w:rPr>
          <w:b/>
        </w:rPr>
        <w:t>Why it has to be migrations and not a paste.</w:t>
      </w:r>
      <w:r>
        <w:t xml:space="preserve"> Alembic records which</w:t>
      </w:r>
    </w:p>
    <w:p>
      <w:r>
        <w:t xml:space="preserve">revisions have run in an </w:t>
      </w:r>
      <w:r>
        <w:rPr>
          <w:rFonts w:ascii="Consolas" w:hAnsi="Consolas"/>
          <w:sz w:val="19"/>
        </w:rPr>
        <w:t>alembic_version</w:t>
      </w:r>
      <w:r>
        <w:t xml:space="preserve"> table. That is what makes the next</w:t>
      </w:r>
    </w:p>
    <w:p>
      <w:r>
        <w:t>deployment safe: it applies only what is new. A hand-pasted schema has no such</w:t>
      </w:r>
    </w:p>
    <w:p>
      <w:r>
        <w:t>record, so the second change is a guess about what is already there. It also</w:t>
      </w:r>
    </w:p>
    <w:p>
      <w:r>
        <w:t>loses the order, and order matters here — migration 016 writes policies that</w:t>
      </w:r>
    </w:p>
    <w:p>
      <w:r>
        <w:t>reference a function migration 001 creates.</w:t>
      </w:r>
    </w:p>
    <w:p/>
    <w:p>
      <w:pPr>
        <w:pStyle w:val="Heading2"/>
      </w:pPr>
      <w:r>
        <w:t>2 · Before you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⚠️ </w:t>
            </w:r>
            <w:r>
              <w:rPr>
                <w:b/>
              </w:rPr>
              <w:t>Not yet decided</w:t>
            </w:r>
            <w:r>
              <w:rPr>
                <w:b/>
              </w:rPr>
              <w:t xml:space="preserve"> — </w:t>
            </w:r>
            <w:r>
              <w:rPr>
                <w:rFonts w:ascii="Consolas" w:hAnsi="Consolas"/>
                <w:b/>
                <w:sz w:val="19"/>
              </w:rPr>
              <w:t>SECURITY_SPEC</w:t>
            </w:r>
            <w:r>
              <w:rPr>
                <w:b/>
              </w:rPr>
              <w:t xml:space="preserve"> S-4. One database, one jurisdiction. A global English-speaking launch (D-7) means UK and EU users, so this carries GDPR transfer obligations. </w:t>
            </w:r>
            <w:r>
              <w:rPr>
                <w:b/>
              </w:rPr>
              <w:t>Decide deliberately; do not accept the default.</w:t>
            </w:r>
            <w:r>
              <w:rPr>
                <w:b/>
              </w:rPr>
              <w:t xml:space="preserve"> The region cannot be changed later without recreating the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4320"/>
          </w:tcPr>
          <w:p>
            <w:r>
              <w:t>The free tier pauses after inactivity, which is fine for staging and not for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Postgres version</w:t>
            </w:r>
          </w:p>
        </w:tc>
        <w:tc>
          <w:tcPr>
            <w:tcW w:type="dxa" w:w="4320"/>
          </w:tcPr>
          <w:p>
            <w:r>
              <w:t xml:space="preserve">15 or later. The migrations use </w:t>
            </w:r>
            <w:r>
              <w:rPr>
                <w:rFonts w:ascii="Consolas" w:hAnsi="Consolas"/>
                <w:sz w:val="19"/>
              </w:rPr>
              <w:t>make_interval</w:t>
            </w:r>
            <w:r>
              <w:t xml:space="preserve">, partial indexes, and </w:t>
            </w:r>
            <w:r>
              <w:rPr>
                <w:rFonts w:ascii="Consolas" w:hAnsi="Consolas"/>
                <w:sz w:val="19"/>
              </w:rPr>
              <w:t>GENERATED</w:t>
            </w:r>
            <w:r>
              <w:t xml:space="preserve"> defaults</w:t>
            </w:r>
          </w:p>
        </w:tc>
      </w:tr>
    </w:tbl>
    <w:p/>
    <w:p>
      <w:pPr>
        <w:pStyle w:val="Heading2"/>
      </w:pPr>
      <w:r>
        <w:t>3 · Get the right connection string</w:t>
      </w:r>
    </w:p>
    <w:p>
      <w:r>
        <w:t xml:space="preserve">Supabase offers three, and </w:t>
      </w:r>
      <w:r>
        <w:rPr>
          <w:b/>
        </w:rPr>
        <w:t>they are not interchangeable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for migrations?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Direct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 xml:space="preserve">✅ </w:t>
            </w:r>
            <w:r>
              <w:rPr>
                <w:b/>
              </w:rPr>
              <w:t>Yes</w:t>
            </w:r>
            <w:r>
              <w:t xml:space="preserve"> — use this</w:t>
            </w:r>
          </w:p>
        </w:tc>
      </w:tr>
      <w:tr>
        <w:tc>
          <w:tcPr>
            <w:tcW w:type="dxa" w:w="2880"/>
          </w:tcPr>
          <w:p>
            <w:r>
              <w:t>Session pooler</w:t>
            </w:r>
          </w:p>
        </w:tc>
        <w:tc>
          <w:tcPr>
            <w:tcW w:type="dxa" w:w="2880"/>
          </w:tcPr>
          <w:p>
            <w:r>
              <w:t>5432 (pooler host)</w:t>
            </w:r>
          </w:p>
        </w:tc>
        <w:tc>
          <w:tcPr>
            <w:tcW w:type="dxa" w:w="2880"/>
          </w:tcPr>
          <w:p>
            <w:r>
              <w:t>✅ Works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Transaction pooler</w:t>
            </w:r>
          </w:p>
        </w:tc>
        <w:tc>
          <w:tcPr>
            <w:tcW w:type="dxa" w:w="2880"/>
          </w:tcPr>
          <w:p>
            <w:r>
              <w:t>6543</w:t>
            </w:r>
          </w:p>
        </w:tc>
        <w:tc>
          <w:tcPr>
            <w:tcW w:type="dxa" w:w="2880"/>
          </w:tcPr>
          <w:p>
            <w:r>
              <w:t xml:space="preserve">❌ </w:t>
            </w:r>
            <w:r>
              <w:rPr>
                <w:b/>
              </w:rPr>
              <w:t>No</w:t>
            </w:r>
          </w:p>
        </w:tc>
      </w:tr>
    </w:tbl>
    <w:p>
      <w:r>
        <w:t>The transaction pooler does not support the prepared statements and</w:t>
      </w:r>
    </w:p>
    <w:p>
      <w:r>
        <w:t xml:space="preserve">session-level state Alembic relies on, and migration 020's </w:t>
      </w:r>
      <w:r>
        <w:rPr>
          <w:rFonts w:ascii="Consolas" w:hAnsi="Consolas"/>
          <w:sz w:val="19"/>
        </w:rPr>
        <w:t>SET ROLE</w:t>
      </w:r>
      <w:r>
        <w:t xml:space="preserve"> work and</w:t>
      </w:r>
    </w:p>
    <w:p>
      <w:r>
        <w:t xml:space="preserve">the </w:t>
      </w:r>
      <w:r>
        <w:rPr>
          <w:rFonts w:ascii="Consolas" w:hAnsi="Consolas"/>
          <w:sz w:val="19"/>
        </w:rPr>
        <w:t>DO $do$</w:t>
      </w:r>
      <w:r>
        <w:t xml:space="preserve"> blocks need a session that survives between statements. Using it</w:t>
      </w:r>
    </w:p>
    <w:p>
      <w:r>
        <w:t>produces errors that look like schema problems and are not.</w:t>
      </w:r>
    </w:p>
    <w:p>
      <w:r>
        <w:t xml:space="preserve">Find it in </w:t>
      </w:r>
      <w:r>
        <w:rPr>
          <w:b/>
        </w:rPr>
        <w:t>Project Settings → Database → Connection string → URI</w:t>
      </w:r>
      <w:r>
        <w:t>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# Note the driver suffix. SQLAlchemy defaults postgresql:// to psycopg2,</w:t>
        <w:br/>
        <w:t># which is not a dependency here. The app normalises this automatically;</w:t>
        <w:br/>
        <w:t># Alembic on the command line does not.</w:t>
        <w:br/>
        <w:t>export DATABASE_URL="postgresql+psycopg://postgres:[PASSWORD]@db.[REF].supabase.co:5432/postgres"</w:t>
      </w:r>
    </w:p>
    <w:p/>
    <w:p>
      <w:pPr>
        <w:pStyle w:val="Heading2"/>
      </w:pPr>
      <w:r>
        <w:t>4 · Apply the schema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pip install -e .</w:t>
        <w:br/>
        <w:t>alembic upgrade head</w:t>
        <w:br/>
        <w:t>alembic current          # expect: 021 (head)</w:t>
      </w:r>
    </w:p>
    <w:p>
      <w:r>
        <w:t>Roughly ten seconds. If it fails, it fails atomically — Alembic runs each</w:t>
      </w:r>
    </w:p>
    <w:p>
      <w:r>
        <w:t>migration in a transaction, so a failure leaves the database on the previous</w:t>
      </w:r>
    </w:p>
    <w:p>
      <w:r>
        <w:t>revision rather than half-migrated.</w:t>
      </w:r>
    </w:p>
    <w:p>
      <w:pPr>
        <w:pStyle w:val="Heading3"/>
      </w:pPr>
      <w:r>
        <w:t>What the migrations do that is Supabase-specific</w:t>
      </w:r>
    </w:p>
    <w:p>
      <w:r>
        <w:t>Three of them are written to behave differently on a real project than on the</w:t>
      </w:r>
    </w:p>
    <w:p>
      <w:r>
        <w:t>local container, and it is worth knowing which:</w:t>
      </w:r>
    </w:p>
    <w:p>
      <w:r>
        <w:rPr>
          <w:b/>
        </w:rPr>
        <w:t>Migration 001 — `auth.users` and `auth.uid()`.</w:t>
      </w:r>
    </w:p>
    <w:p>
      <w:r>
        <w:rPr>
          <w:rFonts w:ascii="Consolas" w:hAnsi="Consolas"/>
          <w:sz w:val="19"/>
        </w:rPr>
        <w:t>profiles.id</w:t>
      </w:r>
      <w:r>
        <w:t xml:space="preserve"> references </w:t>
      </w:r>
      <w:r>
        <w:rPr>
          <w:rFonts w:ascii="Consolas" w:hAnsi="Consolas"/>
          <w:sz w:val="19"/>
        </w:rPr>
        <w:t>auth.users(id)</w:t>
      </w:r>
      <w:r>
        <w:t xml:space="preserve">, which </w:t>
      </w:r>
      <w:r>
        <w:rPr>
          <w:b/>
        </w:rPr>
        <w:t>Supabase already provides</w:t>
      </w:r>
    </w:p>
    <w:p>
      <w:r>
        <w:t>and the application never writes to. Locally there is no such table, so 001</w:t>
      </w:r>
    </w:p>
    <w:p>
      <w:r>
        <w:t>creates a minimal stub. On Supabase both guards make it a no-op:</w:t>
      </w:r>
    </w:p>
    <w:p>
      <w:pPr>
        <w:pStyle w:val="ListBullet"/>
      </w:pPr>
      <w:r>
        <w:rPr>
          <w:rFonts w:ascii="Consolas" w:hAnsi="Consolas"/>
          <w:sz w:val="19"/>
        </w:rPr>
        <w:t>CREATE TABLE IF NOT EXISTS auth.users</w:t>
      </w:r>
      <w:r>
        <w:t xml:space="preserve"> — yours is already there, and richer.</w:t>
      </w:r>
    </w:p>
    <w:p>
      <w:pPr>
        <w:pStyle w:val="ListBullet"/>
      </w:pPr>
      <w:r>
        <w:rPr>
          <w:rFonts w:ascii="Consolas" w:hAnsi="Consolas"/>
          <w:sz w:val="19"/>
        </w:rPr>
        <w:t>auth.uid()</w:t>
      </w:r>
      <w:r>
        <w:t xml:space="preserve"> is created </w:t>
      </w:r>
      <w:r>
        <w:rPr>
          <w:b/>
        </w:rPr>
        <w:t>only if absent</w:t>
      </w:r>
      <w:r>
        <w:t xml:space="preserve">, deliberately </w:t>
      </w:r>
      <w:r>
        <w:rPr>
          <w:i/>
        </w:rPr>
        <w:t>not</w:t>
      </w:r>
      <w:r>
        <w:t xml:space="preserve"> with</w:t>
      </w:r>
    </w:p>
    <w:p>
      <w:r>
        <w:rPr>
          <w:rFonts w:ascii="Consolas" w:hAnsi="Consolas"/>
          <w:sz w:val="19"/>
        </w:rPr>
        <w:t>CREATE OR REPLACE</w:t>
      </w:r>
      <w:r>
        <w:t>. Overwriting Supabase's implementation with the local</w:t>
      </w:r>
    </w:p>
    <w:p>
      <w:r>
        <w:t>stub would be a security incident, not a convenience.</w:t>
      </w:r>
    </w:p>
    <w:p>
      <w:r>
        <w:rPr>
          <w:b/>
        </w:rPr>
        <w:t>Migration 001 — extensions.</w:t>
      </w:r>
      <w:r>
        <w:t xml:space="preserve"> </w:t>
      </w:r>
      <w:r>
        <w:rPr>
          <w:rFonts w:ascii="Consolas" w:hAnsi="Consolas"/>
          <w:sz w:val="19"/>
        </w:rPr>
        <w:t>pgcrypto</w:t>
      </w:r>
      <w:r>
        <w:t xml:space="preserve">, </w:t>
      </w:r>
      <w:r>
        <w:rPr>
          <w:rFonts w:ascii="Consolas" w:hAnsi="Consolas"/>
          <w:sz w:val="19"/>
        </w:rPr>
        <w:t>citext</w:t>
      </w:r>
      <w:r>
        <w:t xml:space="preserve">, </w:t>
      </w:r>
      <w:r>
        <w:rPr>
          <w:rFonts w:ascii="Consolas" w:hAnsi="Consolas"/>
          <w:sz w:val="19"/>
        </w:rPr>
        <w:t>vector</w:t>
      </w:r>
      <w:r>
        <w:t xml:space="preserve"> (pgvector) and</w:t>
      </w:r>
    </w:p>
    <w:p>
      <w:r>
        <w:rPr>
          <w:rFonts w:ascii="Consolas" w:hAnsi="Consolas"/>
          <w:sz w:val="19"/>
        </w:rPr>
        <w:t>pg_trgm</w:t>
      </w:r>
      <w:r>
        <w:t xml:space="preserve">. All four are available on Supabase. If </w:t>
      </w:r>
      <w:r>
        <w:rPr>
          <w:rFonts w:ascii="Consolas" w:hAnsi="Consolas"/>
          <w:sz w:val="19"/>
        </w:rPr>
        <w:t>CREATE EXTENSION vector</w:t>
      </w:r>
    </w:p>
    <w:p>
      <w:r>
        <w:t xml:space="preserve">fails, enable it once in </w:t>
      </w:r>
      <w:r>
        <w:rPr>
          <w:b/>
        </w:rPr>
        <w:t>Database → Extensions</w:t>
      </w:r>
      <w:r>
        <w:t xml:space="preserve"> and re-run.</w:t>
      </w:r>
    </w:p>
    <w:p>
      <w:r>
        <w:rPr>
          <w:b/>
        </w:rPr>
        <w:t>Migration 020 — the application roles.</w:t>
      </w:r>
      <w:r>
        <w:t xml:space="preserve"> Creates </w:t>
      </w:r>
      <w:r>
        <w:rPr>
          <w:rFonts w:ascii="Consolas" w:hAnsi="Consolas"/>
          <w:sz w:val="19"/>
        </w:rPr>
        <w:t>nidan_app</w:t>
      </w:r>
      <w:r>
        <w:t xml:space="preserve"> (Row-Level</w:t>
      </w:r>
    </w:p>
    <w:p>
      <w:r>
        <w:t xml:space="preserve">Security applies) and </w:t>
      </w:r>
      <w:r>
        <w:rPr>
          <w:rFonts w:ascii="Consolas" w:hAnsi="Consolas"/>
          <w:sz w:val="19"/>
        </w:rPr>
        <w:t>nidan_service</w:t>
      </w:r>
      <w:r>
        <w:t xml:space="preserve"> (bypasses it), then grants both to</w:t>
      </w:r>
    </w:p>
    <w:p>
      <w:r>
        <w:rPr>
          <w:rFonts w:ascii="Consolas" w:hAnsi="Consolas"/>
          <w:sz w:val="19"/>
        </w:rPr>
        <w:t>CURRENT_USER</w:t>
      </w:r>
      <w:r>
        <w:t>.</w:t>
      </w:r>
    </w:p>
    <w:p>
      <w:pPr>
        <w:ind w:left="480"/>
      </w:pPr>
      <w:r>
        <w:rPr>
          <w:b/>
          <w:i/>
        </w:rPr>
        <w:t>This is the one that matters most on Supabase.</w:t>
      </w:r>
      <w:r>
        <w:rPr>
          <w:i/>
        </w:rPr>
        <w:t xml:space="preserve"> The direct connection</w:t>
      </w:r>
    </w:p>
    <w:p>
      <w:pPr>
        <w:ind w:left="480"/>
      </w:pPr>
      <w:r>
        <w:rPr>
          <w:i/>
        </w:rPr>
        <w:t xml:space="preserve">string authenticates as </w:t>
      </w:r>
      <w:r>
        <w:rPr>
          <w:rFonts w:ascii="Consolas" w:hAnsi="Consolas"/>
          <w:i/>
          <w:sz w:val="19"/>
        </w:rPr>
        <w:t>postgres</w:t>
      </w:r>
      <w:r>
        <w:rPr>
          <w:i/>
        </w:rPr>
        <w:t xml:space="preserve">, a </w:t>
      </w:r>
      <w:r>
        <w:rPr>
          <w:b/>
          <w:i/>
        </w:rPr>
        <w:t>superuser</w:t>
      </w:r>
      <w:r>
        <w:rPr>
          <w:i/>
        </w:rPr>
        <w:t xml:space="preserve"> — and PostgreSQL exempts</w:t>
      </w:r>
    </w:p>
    <w:p>
      <w:pPr>
        <w:ind w:left="480"/>
      </w:pPr>
      <w:r>
        <w:rPr>
          <w:i/>
        </w:rPr>
        <w:t xml:space="preserve">superusers from every RLS policy. If the application connected as </w:t>
      </w:r>
      <w:r>
        <w:rPr>
          <w:rFonts w:ascii="Consolas" w:hAnsi="Consolas"/>
          <w:i/>
          <w:sz w:val="19"/>
        </w:rPr>
        <w:t>postgres</w:t>
      </w:r>
    </w:p>
    <w:p>
      <w:pPr>
        <w:ind w:left="480"/>
      </w:pPr>
      <w:r>
        <w:rPr>
          <w:i/>
        </w:rPr>
        <w:t>and did nothing else, all six policies would be silently inert while</w:t>
      </w:r>
    </w:p>
    <w:p>
      <w:pPr>
        <w:ind w:left="480"/>
      </w:pPr>
      <w:r>
        <w:rPr>
          <w:rFonts w:ascii="Consolas" w:hAnsi="Consolas"/>
          <w:i/>
          <w:sz w:val="19"/>
        </w:rPr>
        <w:t>pg_policies</w:t>
      </w:r>
      <w:r>
        <w:rPr>
          <w:i/>
        </w:rPr>
        <w:t xml:space="preserve"> still listed them.</w:t>
      </w:r>
    </w:p>
    <w:p>
      <w:pPr>
        <w:ind w:left="480"/>
      </w:pPr>
    </w:p>
    <w:p>
      <w:pPr>
        <w:ind w:left="480"/>
      </w:pPr>
      <w:r>
        <w:rPr>
          <w:i/>
        </w:rPr>
        <w:t xml:space="preserve">That is why every transaction opens with </w:t>
      </w:r>
      <w:r>
        <w:rPr>
          <w:rFonts w:ascii="Consolas" w:hAnsi="Consolas"/>
          <w:i/>
          <w:sz w:val="19"/>
        </w:rPr>
        <w:t>SET LOCAL ROLE nidan_app</w:t>
      </w:r>
      <w:r>
        <w:rPr>
          <w:i/>
        </w:rPr>
        <w:t>: it</w:t>
      </w:r>
    </w:p>
    <w:p>
      <w:pPr>
        <w:ind w:left="480"/>
      </w:pPr>
      <w:r>
        <w:rPr>
          <w:i/>
        </w:rPr>
        <w:t>demotes the connection for the duration of the statement, so the policies</w:t>
      </w:r>
    </w:p>
    <w:p>
      <w:pPr>
        <w:ind w:left="480"/>
      </w:pPr>
      <w:r>
        <w:rPr>
          <w:i/>
        </w:rPr>
        <w:t xml:space="preserve">apply even though the credentials are a superuser's. See </w:t>
      </w:r>
      <w:r>
        <w:rPr>
          <w:rFonts w:ascii="Consolas" w:hAnsi="Consolas"/>
          <w:i/>
          <w:sz w:val="19"/>
        </w:rPr>
        <w:t>ADR-0016</w:t>
      </w:r>
      <w:r>
        <w:rPr>
          <w:i/>
        </w:rPr>
        <w:t>.</w:t>
      </w:r>
    </w:p>
    <w:p/>
    <w:p>
      <w:pPr>
        <w:pStyle w:val="Heading2"/>
      </w:pPr>
      <w:r>
        <w:t>5 · Verify it worked</w:t>
      </w:r>
    </w:p>
    <w:p>
      <w:r>
        <w:t>Run these in Supabase's SQL editor. Each one has an expected answer.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-- 21 tables</w:t>
        <w:br/>
        <w:t>SELECT count(*) FROM information_schema.tables</w:t>
        <w:br/>
        <w:t>WHERE table_schema = 'public' AND table_type = 'BASE TABLE';</w:t>
        <w:br/>
        <w:br/>
        <w:t>-- 9 RLS-enabled tables, every one with at least one policy.</w:t>
        <w:br/>
        <w:t>-- Zero rows is the required answer: RLS enabled with NO policy denies</w:t>
        <w:br/>
        <w:t>-- everything rather than allowing it, which is how four tables were</w:t>
        <w:br/>
        <w:t>-- unreachable for three tasks (fixed in migration 021).</w:t>
        <w:br/>
        <w:t>SELECT c.relname FROM pg_class c</w:t>
        <w:br/>
        <w:t>JOIN pg_namespace n ON n.oid = c.relnamespace AND n.nspname = 'public'</w:t>
        <w:br/>
        <w:t>LEFT JOIN pg_policy p ON p.polrelid = c.oid</w:t>
        <w:br/>
        <w:t>WHERE c.relkind = 'r' AND c.relrowsecurity</w:t>
        <w:br/>
        <w:t>GROUP BY c.relname HAVING count(p.polname) = 0;</w:t>
        <w:br/>
        <w:br/>
        <w:t>-- Both roles exist, and only nidan_service bypasses RLS</w:t>
        <w:br/>
        <w:t>SELECT rolname, rolbypassrls FROM pg_roles</w:t>
        <w:br/>
        <w:t>WHERE rolname IN ('nidan_app', 'nidan_service');</w:t>
        <w:br/>
        <w:br/>
        <w:t>-- Seeded content: 5 cases (status draft), 27 examinations,</w:t>
        <w:br/>
        <w:t>-- 86 investigations, 40 topics, 1 current engine version</w:t>
        <w:br/>
        <w:t>SELECT (SELECT count(*) FROM cases)               AS cases,</w:t>
        <w:br/>
        <w:t xml:space="preserve">       (SELECT count(*) FROM examinations)        AS examinations,</w:t>
        <w:br/>
        <w:t xml:space="preserve">       (SELECT count(*) FROM investigations)      AS investigations,</w:t>
        <w:br/>
        <w:t xml:space="preserve">       (SELECT count(*) FROM engine_versions</w:t>
        <w:br/>
        <w:t xml:space="preserve">         WHERE is_current)                        AS current_engine;</w:t>
      </w:r>
    </w:p>
    <w:p>
      <w:r>
        <w:rPr>
          <w:b/>
        </w:rPr>
        <w:t>The five cases arrive as `draft`, and that is correct.</w:t>
      </w:r>
      <w:r>
        <w:t xml:space="preserve"> </w:t>
      </w:r>
      <w:r>
        <w:rPr>
          <w:rFonts w:ascii="Consolas" w:hAnsi="Consolas"/>
          <w:sz w:val="19"/>
        </w:rPr>
        <w:t>DATA_MODEL</w:t>
      </w:r>
      <w:r>
        <w:t xml:space="preserve"> §9.2:</w:t>
      </w:r>
    </w:p>
    <w:p>
      <w:r>
        <w:t>publishing them without clinical review would make the publication gate a</w:t>
      </w:r>
    </w:p>
    <w:p>
      <w:r>
        <w:t>formality. They stay drafts until a clinician approves them (T-023), which</w:t>
      </w:r>
    </w:p>
    <w:p>
      <w:r>
        <w:t xml:space="preserve">means case selection will correctly return </w:t>
      </w:r>
      <w:r>
        <w:rPr>
          <w:rFonts w:ascii="Consolas" w:hAnsi="Consolas"/>
          <w:sz w:val="19"/>
        </w:rPr>
        <w:t>no_cases_available</w:t>
      </w:r>
      <w:r>
        <w:t xml:space="preserve"> until then.</w:t>
      </w:r>
    </w:p>
    <w:p/>
    <w:p>
      <w:pPr>
        <w:pStyle w:val="Heading2"/>
      </w:pPr>
      <w:r>
        <w:t>6 · Point the application at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DATABASE_URL=postgresql://postgres:[PASSWORD]@db.[REF].supabase.co:5432/postgres</w:t>
        <w:br/>
        <w:t>SUPABASE_URL=https://[REF].supabase.co</w:t>
        <w:br/>
        <w:t>SUPABASE_JWT_AUDIENCE=authenticated</w:t>
        <w:br/>
        <w:t>FLASK_SECRET_KEY=&lt;generate: python -c "import secrets; print(secrets.token_hex(32))"&gt;</w:t>
        <w:br/>
        <w:t>ENVIRONMENT=production</w:t>
        <w:br/>
        <w:t>GROQ_API_KEY=&lt;your key&gt;</w:t>
      </w:r>
    </w:p>
    <w:p>
      <w:r>
        <w:t>**</w:t>
      </w:r>
      <w:r>
        <w:rPr>
          <w:rFonts w:ascii="Consolas" w:hAnsi="Consolas"/>
          <w:sz w:val="19"/>
        </w:rPr>
        <w:t>FLASK_SECRET_KEY</w:t>
      </w:r>
      <w:r>
        <w:t xml:space="preserve"> is required in production and the app refuses to start</w:t>
      </w:r>
    </w:p>
    <w:p>
      <w:r>
        <w:t>without it.** Each gunicorn worker imports the application separately, so</w:t>
      </w:r>
    </w:p>
    <w:p>
      <w:r>
        <w:t>without a fixed key every worker signs session cookies with its own random</w:t>
      </w:r>
    </w:p>
    <w:p>
      <w:r>
        <w:t>secret and rejects the others' — the learner is thrown out on roughly half</w:t>
      </w:r>
    </w:p>
    <w:p>
      <w:r>
        <w:t>their requests, with nothing in the logs to explain it.</w:t>
      </w:r>
    </w:p>
    <w:p>
      <w:r>
        <w:rPr>
          <w:b/>
        </w:rPr>
        <w:t>Confirm the project issues asymmetric tokens.</w:t>
      </w:r>
      <w:r>
        <w:t xml:space="preserve"> Authentication verifies</w:t>
      </w:r>
    </w:p>
    <w:p>
      <w:r>
        <w:t>RS256/ES256 against the JWKS endpoint. Older Supabase projects sign HS256 with</w:t>
      </w:r>
    </w:p>
    <w:p>
      <w:r>
        <w:t>a shared secret, which this code deliberately refuses — accepting it would open</w:t>
      </w:r>
    </w:p>
    <w:p>
      <w:r>
        <w:t>the algorithm-confusion attack.</w:t>
      </w:r>
    </w:p>
    <w:p/>
    <w:p>
      <w:pPr>
        <w:pStyle w:val="Heading2"/>
      </w:pPr>
      <w:r>
        <w:t>7 · Do not do these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 not paste the SQL by hand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No </w:t>
            </w:r>
            <w:r>
              <w:rPr>
                <w:rFonts w:ascii="Consolas" w:hAnsi="Consolas"/>
                <w:b/>
                <w:sz w:val="19"/>
              </w:rPr>
              <w:t>alembic_version</w:t>
            </w:r>
            <w:r>
              <w:rPr>
                <w:b/>
              </w:rPr>
              <w:t xml:space="preserve"> row means the next deployment cannot tell what has already run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not edit an applied migration</w:t>
            </w:r>
          </w:p>
        </w:tc>
        <w:tc>
          <w:tcPr>
            <w:tcW w:type="dxa" w:w="4320"/>
          </w:tcPr>
          <w:p>
            <w:r>
              <w:t>Write a new one. An edited migration is a schema that differs between environments with nothing to show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not use the transaction pooler (6543) for migrations</w:t>
            </w:r>
          </w:p>
        </w:tc>
        <w:tc>
          <w:tcPr>
            <w:tcW w:type="dxa" w:w="4320"/>
          </w:tcPr>
          <w:p>
            <w:r>
              <w:t>§3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not run `alembic downgrade` against production</w:t>
            </w:r>
          </w:p>
        </w:tc>
        <w:tc>
          <w:tcPr>
            <w:tcW w:type="dxa" w:w="4320"/>
          </w:tcPr>
          <w:p>
            <w:r>
              <w:t>It works, and it drops tables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not grant the application role write access to `engine_versions` or clinical content</w:t>
            </w:r>
          </w:p>
        </w:tc>
        <w:tc>
          <w:tcPr>
            <w:tcW w:type="dxa" w:w="4320"/>
          </w:tcPr>
          <w:p>
            <w:r>
              <w:t xml:space="preserve">It is read-only on both by design. </w:t>
            </w:r>
            <w:r>
              <w:rPr>
                <w:rFonts w:ascii="Consolas" w:hAnsi="Consolas"/>
                <w:sz w:val="19"/>
              </w:rPr>
              <w:t>nidan_service</w:t>
            </w:r>
            <w:r>
              <w:t xml:space="preserve"> is the role the anonymous-trial path uses, so widening it widens that too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 not run `scripts/backfill_pilot.py` against production without deciding</w:t>
            </w:r>
          </w:p>
        </w:tc>
        <w:tc>
          <w:tcPr>
            <w:tcW w:type="dxa" w:w="4320"/>
          </w:tcPr>
          <w:p>
            <w:r>
              <w:t>It imports 16 real participants' sessions. That is a privacy decision about people's data, not a deployment step. Locally and in staging: fine</w:t>
            </w:r>
          </w:p>
        </w:tc>
      </w:tr>
    </w:tbl>
    <w:p/>
    <w:p>
      <w:pPr>
        <w:pStyle w:val="Heading2"/>
      </w:pPr>
      <w:r>
        <w:t>8 · If you have to start again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base    # drops everything this repo created</w:t>
        <w:br/>
        <w:t>alembic upgrade head</w:t>
      </w:r>
    </w:p>
    <w:p>
      <w:r>
        <w:rPr>
          <w:rFonts w:ascii="Consolas" w:hAnsi="Consolas"/>
          <w:sz w:val="19"/>
        </w:rPr>
        <w:t>downgrade base</w:t>
      </w:r>
      <w:r>
        <w:t xml:space="preserve"> is tested — </w:t>
      </w:r>
      <w:r>
        <w:rPr>
          <w:rFonts w:ascii="Consolas" w:hAnsi="Consolas"/>
          <w:sz w:val="19"/>
        </w:rPr>
        <w:t>tests/db/test_migrations.py</w:t>
      </w:r>
      <w:r>
        <w:t xml:space="preserve"> goes down and back</w:t>
      </w:r>
    </w:p>
    <w:p>
      <w:r>
        <w:t xml:space="preserve">up on every push, which is why it can be trusted. It does </w:t>
      </w:r>
      <w:r>
        <w:rPr>
          <w:b/>
        </w:rPr>
        <w:t>not</w:t>
      </w:r>
      <w:r>
        <w:t xml:space="preserve"> touch</w:t>
      </w:r>
    </w:p>
    <w:p>
      <w:r>
        <w:rPr>
          <w:rFonts w:ascii="Consolas" w:hAnsi="Consolas"/>
          <w:sz w:val="19"/>
        </w:rPr>
        <w:t>auth.users</w:t>
      </w:r>
      <w:r>
        <w:t xml:space="preserve"> on Supabase; the guards in 001 only create, never drop.</w:t>
      </w:r>
    </w:p>
    <w:p/>
    <w:p>
      <w:pPr>
        <w:pStyle w:val="Heading2"/>
      </w:pPr>
      <w:r>
        <w:t>9 · Related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/>
                <w:b/>
                <w:sz w:val="19"/>
              </w:rPr>
              <w:t>DATA_MODEL.md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schema itself, table by table, and why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ADR-0001</w:t>
            </w:r>
          </w:p>
        </w:tc>
        <w:tc>
          <w:tcPr>
            <w:tcW w:type="dxa" w:w="4320"/>
          </w:tcPr>
          <w:p>
            <w:r>
              <w:t>Why PostgreSQL with pgvector, hosted on Supabase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ADR-0016</w:t>
            </w:r>
          </w:p>
        </w:tc>
        <w:tc>
          <w:tcPr>
            <w:tcW w:type="dxa" w:w="4320"/>
          </w:tcPr>
          <w:p>
            <w:r>
              <w:t>Why tenant scoping assumes a role per transaction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SECURITY_SPEC.md</w:t>
            </w:r>
            <w:r>
              <w:t xml:space="preserve"> §S-4</w:t>
            </w:r>
          </w:p>
        </w:tc>
        <w:tc>
          <w:tcPr>
            <w:tcW w:type="dxa" w:w="4320"/>
          </w:tcPr>
          <w:p>
            <w:r>
              <w:t>The region decision, still open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COMMANDS.md</w:t>
            </w:r>
          </w:p>
        </w:tc>
        <w:tc>
          <w:tcPr>
            <w:tcW w:type="dxa" w:w="4320"/>
          </w:tcPr>
          <w:p>
            <w:r>
              <w:t>Local database commands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