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PHASE-1</w:t>
      </w:r>
    </w:p>
    <w:p>
      <w:r>
        <w:rPr>
          <w:i/>
          <w:sz w:val="17"/>
        </w:rPr>
        <w:t>Nidan · generated from docs/build-log/PHASE-1.md on 2026-09-21</w:t>
      </w:r>
    </w:p>
    <w:p>
      <w:pPr>
        <w:pStyle w:val="Heading1"/>
      </w:pPr>
      <w:r>
        <w:t>Phase 1 — Persistence and accounts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T-010 … T-018 (nine; there is no T-019)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11–13 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4320"/>
          </w:tcPr>
          <w:p>
            <w:r>
              <w:t>17 days estimated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4320"/>
          </w:tcPr>
          <w:p>
            <w:r>
              <w:t xml:space="preserve">293 → </w:t>
            </w:r>
            <w:r>
              <w:rPr>
                <w:b/>
              </w:rPr>
              <w:t>555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rPr>
                <w:i/>
              </w:rPr>
              <w:t>"Nothing is lost, everyone is who they say they are."</w:t>
            </w:r>
          </w:p>
        </w:tc>
      </w:tr>
    </w:tbl>
    <w:p/>
    <w:p>
      <w:pPr>
        <w:pStyle w:val="Heading2"/>
      </w:pPr>
      <w:r>
        <w:t>1 · What Phase 1 was for</w:t>
      </w:r>
    </w:p>
    <w:p>
      <w:r>
        <w:t>Phase 0 made the prototype trustworthy to work on: a package, a test harness, CI,</w:t>
      </w:r>
    </w:p>
    <w:p>
      <w:r>
        <w:t>a validation gate, containers, typed configuration, telemetry.</w:t>
      </w:r>
    </w:p>
    <w:p>
      <w:r>
        <w:t>Phase 1 gave it a memory and an identity. At the start, a consultation lived in a</w:t>
      </w:r>
    </w:p>
    <w:p>
      <w:r>
        <w:t>dictionary in one process and vanished on restart; there were no accounts, no</w:t>
      </w:r>
    </w:p>
    <w:p>
      <w:r>
        <w:t>database, and no way to tell one learner from another. At the end there is a</w:t>
      </w:r>
    </w:p>
    <w:p>
      <w:r>
        <w:t>21-migration schema, an enforced tenant boundary, an append-only event log, JWT</w:t>
      </w:r>
    </w:p>
    <w:p>
      <w:r>
        <w:t>authentication, a free tier, a replayable assessment engine, and the pilot</w:t>
      </w:r>
    </w:p>
    <w:p>
      <w:r>
        <w:t>inside the system rather than beside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Tests after</w:t>
            </w:r>
          </w:p>
        </w:tc>
      </w:tr>
      <w:tr>
        <w:tc>
          <w:tcPr>
            <w:tcW w:type="dxa" w:w="2880"/>
          </w:tcPr>
          <w:p>
            <w:r>
              <w:t>T-010</w:t>
            </w:r>
          </w:p>
        </w:tc>
        <w:tc>
          <w:tcPr>
            <w:tcW w:type="dxa" w:w="2880"/>
          </w:tcPr>
          <w:p>
            <w:r>
              <w:t>Schema and migrations</w:t>
            </w:r>
          </w:p>
        </w:tc>
        <w:tc>
          <w:tcPr>
            <w:tcW w:type="dxa" w:w="2880"/>
          </w:tcPr>
          <w:p>
            <w:r>
              <w:t>330</w:t>
            </w:r>
          </w:p>
        </w:tc>
      </w:tr>
      <w:tr>
        <w:tc>
          <w:tcPr>
            <w:tcW w:type="dxa" w:w="2880"/>
          </w:tcPr>
          <w:p>
            <w:r>
              <w:t>T-011 ⭐</w:t>
            </w:r>
          </w:p>
        </w:tc>
        <w:tc>
          <w:tcPr>
            <w:tcW w:type="dxa" w:w="2880"/>
          </w:tcPr>
          <w:p>
            <w:r>
              <w:t xml:space="preserve">Seed content and </w:t>
            </w:r>
            <w:r>
              <w:rPr>
                <w:rFonts w:ascii="Consolas" w:hAnsi="Consolas"/>
                <w:sz w:val="19"/>
              </w:rPr>
              <w:t>openapi.yaml</w:t>
            </w:r>
            <w:r>
              <w:t xml:space="preserve"> (sync point S-1)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T-012</w:t>
            </w:r>
          </w:p>
        </w:tc>
        <w:tc>
          <w:tcPr>
            <w:tcW w:type="dxa" w:w="2880"/>
          </w:tcPr>
          <w:p>
            <w:r>
              <w:t>Repository layer and tenant scoping</w:t>
            </w:r>
          </w:p>
        </w:tc>
        <w:tc>
          <w:tcPr>
            <w:tcW w:type="dxa" w:w="2880"/>
          </w:tcPr>
          <w:p>
            <w:r>
              <w:t>396</w:t>
            </w:r>
          </w:p>
        </w:tc>
      </w:tr>
      <w:tr>
        <w:tc>
          <w:tcPr>
            <w:tcW w:type="dxa" w:w="2880"/>
          </w:tcPr>
          <w:p>
            <w:r>
              <w:t>T-013 ⭐</w:t>
            </w:r>
          </w:p>
        </w:tc>
        <w:tc>
          <w:tcPr>
            <w:tcW w:type="dxa" w:w="2880"/>
          </w:tcPr>
          <w:p>
            <w:r>
              <w:t>Event-sourced session state</w:t>
            </w:r>
          </w:p>
        </w:tc>
        <w:tc>
          <w:tcPr>
            <w:tcW w:type="dxa" w:w="2880"/>
          </w:tcPr>
          <w:p>
            <w:r>
              <w:t>433</w:t>
            </w:r>
          </w:p>
        </w:tc>
      </w:tr>
      <w:tr>
        <w:tc>
          <w:tcPr>
            <w:tcW w:type="dxa" w:w="2880"/>
          </w:tcPr>
          <w:p>
            <w:r>
              <w:t>T-014</w:t>
            </w:r>
          </w:p>
        </w:tc>
        <w:tc>
          <w:tcPr>
            <w:tcW w:type="dxa" w:w="2880"/>
          </w:tcPr>
          <w:p>
            <w:r>
              <w:t>Supabase Auth integration</w:t>
            </w:r>
          </w:p>
        </w:tc>
        <w:tc>
          <w:tcPr>
            <w:tcW w:type="dxa" w:w="2880"/>
          </w:tcPr>
          <w:p>
            <w:r>
              <w:t>468</w:t>
            </w:r>
          </w:p>
        </w:tc>
      </w:tr>
      <w:tr>
        <w:tc>
          <w:tcPr>
            <w:tcW w:type="dxa" w:w="2880"/>
          </w:tcPr>
          <w:p>
            <w:r>
              <w:t>T-015</w:t>
            </w:r>
          </w:p>
        </w:tc>
        <w:tc>
          <w:tcPr>
            <w:tcW w:type="dxa" w:w="2880"/>
          </w:tcPr>
          <w:p>
            <w:r>
              <w:t>Anonymous trial sessions</w:t>
            </w:r>
          </w:p>
        </w:tc>
        <w:tc>
          <w:tcPr>
            <w:tcW w:type="dxa" w:w="2880"/>
          </w:tcPr>
          <w:p>
            <w:r>
              <w:t>487</w:t>
            </w:r>
          </w:p>
        </w:tc>
      </w:tr>
      <w:tr>
        <w:tc>
          <w:tcPr>
            <w:tcW w:type="dxa" w:w="2880"/>
          </w:tcPr>
          <w:p>
            <w:r>
              <w:t>T-016 ⭐</w:t>
            </w:r>
          </w:p>
        </w:tc>
        <w:tc>
          <w:tcPr>
            <w:tcW w:type="dxa" w:w="2880"/>
          </w:tcPr>
          <w:p>
            <w:r>
              <w:t>Assessment from events</w:t>
            </w:r>
          </w:p>
        </w:tc>
        <w:tc>
          <w:tcPr>
            <w:tcW w:type="dxa" w:w="2880"/>
          </w:tcPr>
          <w:p>
            <w:r>
              <w:t>502</w:t>
            </w:r>
          </w:p>
        </w:tc>
      </w:tr>
      <w:tr>
        <w:tc>
          <w:tcPr>
            <w:tcW w:type="dxa" w:w="2880"/>
          </w:tcPr>
          <w:p>
            <w:r>
              <w:t>T-017</w:t>
            </w:r>
          </w:p>
        </w:tc>
        <w:tc>
          <w:tcPr>
            <w:tcW w:type="dxa" w:w="2880"/>
          </w:tcPr>
          <w:p>
            <w:r>
              <w:t>Free-tier allowance and case selection</w:t>
            </w:r>
          </w:p>
        </w:tc>
        <w:tc>
          <w:tcPr>
            <w:tcW w:type="dxa" w:w="2880"/>
          </w:tcPr>
          <w:p>
            <w:r>
              <w:t>540</w:t>
            </w:r>
          </w:p>
        </w:tc>
      </w:tr>
      <w:tr>
        <w:tc>
          <w:tcPr>
            <w:tcW w:type="dxa" w:w="2880"/>
          </w:tcPr>
          <w:p>
            <w:r>
              <w:t>T-018</w:t>
            </w:r>
          </w:p>
        </w:tc>
        <w:tc>
          <w:tcPr>
            <w:tcW w:type="dxa" w:w="2880"/>
          </w:tcPr>
          <w:p>
            <w:r>
              <w:t>Pilot data backfill</w:t>
            </w:r>
          </w:p>
        </w:tc>
        <w:tc>
          <w:tcPr>
            <w:tcW w:type="dxa" w:w="2880"/>
          </w:tcPr>
          <w:p>
            <w:r>
              <w:t>555</w:t>
            </w:r>
          </w:p>
        </w:tc>
      </w:tr>
    </w:tbl>
    <w:p/>
    <w:p>
      <w:pPr>
        <w:pStyle w:val="Heading2"/>
      </w:pPr>
      <w:r>
        <w:t>2 · The defects Phase 1 found</w:t>
      </w:r>
    </w:p>
    <w:p>
      <w:r>
        <w:t>Every one was found by a test or by CI, not by review.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Found 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Four tables had RLS enabled with zero policies</w:t>
            </w:r>
            <w:r>
              <w:t xml:space="preserve"> — which in PostgreSQL denies everything, not allows everything</w:t>
            </w:r>
          </w:p>
        </w:tc>
        <w:tc>
          <w:tcPr>
            <w:tcW w:type="dxa" w:w="2880"/>
          </w:tcPr>
          <w:p>
            <w:r>
              <w:t>T-013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feedback_texts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subscriptions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user_progress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user_case_history</w:t>
            </w:r>
            <w:r>
              <w:t xml:space="preserve"> were completely unreachable by the application. It would have surfaced as T-014's mystery, one table at a time, with no error explaining any of them. Migration 021, plus a schema-wide guard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`FLASK_SECRET_KEY` unset breaks sessions across workers</w:t>
            </w:r>
          </w:p>
        </w:tc>
        <w:tc>
          <w:tcPr>
            <w:tcW w:type="dxa" w:w="2880"/>
          </w:tcPr>
          <w:p>
            <w:r>
              <w:t>T-013, by CI</w:t>
            </w:r>
          </w:p>
        </w:tc>
        <w:tc>
          <w:tcPr>
            <w:tcW w:type="dxa" w:w="2880"/>
          </w:tcPr>
          <w:p>
            <w:r>
              <w:t>Raising the worker count turned "sessions don't survive a restart" into "sessions don't work". Each gunicorn worker signed cookies with its own random key. Production now refuses to start without 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`TRUNCATE … CASCADE` propagates outward</w:t>
            </w:r>
          </w:p>
        </w:tc>
        <w:tc>
          <w:tcPr>
            <w:tcW w:type="dxa" w:w="2880"/>
          </w:tcPr>
          <w:p>
            <w:r>
              <w:t>T-011</w:t>
            </w:r>
          </w:p>
        </w:tc>
        <w:tc>
          <w:tcPr>
            <w:tcW w:type="dxa" w:w="2880"/>
          </w:tcPr>
          <w:p>
            <w:r>
              <w:t xml:space="preserve">It took the five seeded cases with it via </w:t>
            </w:r>
            <w:r>
              <w:rPr>
                <w:rFonts w:ascii="Consolas" w:hAnsi="Consolas"/>
                <w:sz w:val="19"/>
              </w:rPr>
              <w:t>cases.created_by</w:t>
            </w:r>
            <w:r>
              <w:t>. A fixture that says "these tables hold only test data" is a claim about the current schema, and it stops being true without telling you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`user_case_history` had no writer</w:t>
            </w:r>
          </w:p>
        </w:tc>
        <w:tc>
          <w:tcPr>
            <w:tcW w:type="dxa" w:w="2880"/>
          </w:tcPr>
          <w:p>
            <w:r>
              <w:t>T-017</w:t>
            </w:r>
          </w:p>
        </w:tc>
        <w:tc>
          <w:tcPr>
            <w:tcW w:type="dxa" w:w="2880"/>
          </w:tcPr>
          <w:p>
            <w:r>
              <w:t>Created in T-010, populated by nothing, and no task assigned to it — making "a case the user has not completed" unanswerable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The threshold drift guard was grepping source</w:t>
            </w:r>
          </w:p>
        </w:tc>
        <w:tc>
          <w:tcPr>
            <w:tcW w:type="dxa" w:w="2880"/>
          </w:tcPr>
          <w:p>
            <w:r>
              <w:t>T-016</w:t>
            </w:r>
          </w:p>
        </w:tc>
        <w:tc>
          <w:tcPr>
            <w:tcW w:type="dxa" w:w="2880"/>
          </w:tcPr>
          <w:p>
            <w:r>
              <w:t xml:space="preserve">It asserted </w:t>
            </w:r>
            <w:r>
              <w:rPr>
                <w:rFonts w:ascii="Consolas" w:hAnsi="Consolas"/>
                <w:sz w:val="19"/>
              </w:rPr>
              <w:t>bias.py</w:t>
            </w:r>
            <w:r>
              <w:t xml:space="preserve"> still contained the string </w:t>
            </w:r>
            <w:r>
              <w:rPr>
                <w:rFonts w:ascii="Consolas" w:hAnsi="Consolas"/>
                <w:sz w:val="19"/>
              </w:rPr>
              <w:t>"concentration &gt; 0.60"</w:t>
            </w:r>
            <w:r>
              <w:t>. Now a value comparison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 validation-gate test had stopped degrading anything</w:t>
            </w:r>
          </w:p>
        </w:tc>
        <w:tc>
          <w:tcPr>
            <w:tcW w:type="dxa" w:w="2880"/>
          </w:tcPr>
          <w:p>
            <w:r>
              <w:t>T-016</w:t>
            </w:r>
          </w:p>
        </w:tc>
        <w:tc>
          <w:tcPr>
            <w:tcW w:type="dxa" w:w="2880"/>
          </w:tcPr>
          <w:p>
            <w:r>
              <w:t>It broke rule A1 by replacing a string that no longer existed, and had no assertion that the target was present. It would have passed on an unmutated copy — a green build proving nothing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Sequence collisions starved a thread</w:t>
            </w:r>
          </w:p>
        </w:tc>
        <w:tc>
          <w:tcPr>
            <w:tcW w:type="dxa" w:w="2880"/>
          </w:tcPr>
          <w:p>
            <w:r>
              <w:t>T-013</w:t>
            </w:r>
          </w:p>
        </w:tc>
        <w:tc>
          <w:tcPr>
            <w:tcW w:type="dxa" w:w="2880"/>
          </w:tcPr>
          <w:p>
            <w:r>
              <w:t>The retry was lockstep: every loser recomputed and retried immediately. Fixed with randomised backoff</w:t>
            </w:r>
          </w:p>
        </w:tc>
      </w:tr>
    </w:tbl>
    <w:p/>
    <w:p>
      <w:pPr>
        <w:pStyle w:val="Heading2"/>
      </w:pPr>
      <w:r>
        <w:t>3 · What the phase taught</w:t>
      </w:r>
    </w:p>
    <w:p>
      <w:r>
        <w:rPr>
          <w:b/>
        </w:rPr>
        <w:t>Probe every guard by breaking what it guards.</w:t>
      </w:r>
      <w:r>
        <w:t xml:space="preserve"> Adopted in T-012 and used in</w:t>
      </w:r>
    </w:p>
    <w:p>
      <w:r>
        <w:t>every task since. It has now caught three tests that could not fail, and — twice</w:t>
      </w:r>
    </w:p>
    <w:p>
      <w:r>
        <w:t xml:space="preserve">— a </w:t>
      </w:r>
      <w:r>
        <w:rPr>
          <w:i/>
        </w:rPr>
        <w:t>probe</w:t>
      </w:r>
      <w:r>
        <w:t xml:space="preserve"> that could not prove anything: T-017's mutation silently did nothing</w:t>
      </w:r>
    </w:p>
    <w:p>
      <w:r>
        <w:t>because a quoted string did not match, and T-018's mutation worked while the</w:t>
      </w:r>
    </w:p>
    <w:p>
      <w:r>
        <w:t>measurement (</w:t>
      </w:r>
      <w:r>
        <w:rPr>
          <w:rFonts w:ascii="Consolas" w:hAnsi="Consolas"/>
          <w:sz w:val="19"/>
        </w:rPr>
        <w:t>grep -c "^FAILED"</w:t>
      </w:r>
      <w:r>
        <w:t>) missed 14 errors. The probe needs checking as</w:t>
      </w:r>
    </w:p>
    <w:p>
      <w:r>
        <w:t>carefully as the thing it probes.</w:t>
      </w:r>
    </w:p>
    <w:p>
      <w:r>
        <w:rPr>
          <w:b/>
        </w:rPr>
        <w:t>CI catches what one machine hides.</w:t>
      </w:r>
      <w:r>
        <w:t xml:space="preserve"> Three times now — </w:t>
      </w:r>
      <w:r>
        <w:rPr>
          <w:rFonts w:ascii="Consolas" w:hAnsi="Consolas"/>
          <w:sz w:val="19"/>
        </w:rPr>
        <w:t>setuptools</w:t>
      </w:r>
      <w:r>
        <w:t xml:space="preserve"> in T-004,</w:t>
      </w:r>
    </w:p>
    <w:p>
      <w:r>
        <w:rPr>
          <w:rFonts w:ascii="Consolas" w:hAnsi="Consolas"/>
          <w:sz w:val="19"/>
        </w:rPr>
        <w:t>pip</w:t>
      </w:r>
      <w:r>
        <w:t xml:space="preserve"> in T-011, </w:t>
      </w:r>
      <w:r>
        <w:rPr>
          <w:rFonts w:ascii="Consolas" w:hAnsi="Consolas"/>
          <w:sz w:val="19"/>
        </w:rPr>
        <w:t>FLASK_SECRET_KEY</w:t>
      </w:r>
      <w:r>
        <w:t xml:space="preserve"> in T-013 — always the same shape: *the</w:t>
      </w:r>
    </w:p>
    <w:p>
      <w:r>
        <w:t>developer's environment supplies something the specification never required.*</w:t>
      </w:r>
    </w:p>
    <w:p>
      <w:r>
        <w:t>Since T-013 every task is run in a Linux container with a fresh dependency</w:t>
      </w:r>
    </w:p>
    <w:p>
      <w:r>
        <w:t xml:space="preserve">resolution and no </w:t>
      </w:r>
      <w:r>
        <w:rPr>
          <w:rFonts w:ascii="Consolas" w:hAnsi="Consolas"/>
          <w:sz w:val="19"/>
        </w:rPr>
        <w:t>.env</w:t>
      </w:r>
      <w:r>
        <w:t xml:space="preserve"> before pushing.</w:t>
      </w:r>
    </w:p>
    <w:p>
      <w:r>
        <w:rPr>
          <w:b/>
        </w:rPr>
        <w:t>Two safety mechanisms can each be correct and still cancel each other.</w:t>
      </w:r>
    </w:p>
    <w:p>
      <w:r>
        <w:t>T-014's JWKS cache had to refetch immediately on an unknown key (or a rotation</w:t>
      </w:r>
    </w:p>
    <w:p>
      <w:r>
        <w:t xml:space="preserve">is a ten-minute outage) </w:t>
      </w:r>
      <w:r>
        <w:rPr>
          <w:i/>
        </w:rPr>
        <w:t>and</w:t>
      </w:r>
      <w:r>
        <w:t xml:space="preserve"> throttle refetches (or junk keys are a</w:t>
      </w:r>
    </w:p>
    <w:p>
      <w:r>
        <w:t>denial-of-service). The first throttle defeated the rotation handling it was</w:t>
      </w:r>
    </w:p>
    <w:p>
      <w:r>
        <w:t>written to coexist with. Only a test exercising both together said so.</w:t>
      </w:r>
    </w:p>
    <w:p>
      <w:r>
        <w:rPr>
          <w:b/>
        </w:rPr>
        <w:t>A stored number is meaningless without the version that produced it.</w:t>
      </w:r>
      <w:r>
        <w:t xml:space="preserve"> T-016</w:t>
      </w:r>
    </w:p>
    <w:p>
      <w:r>
        <w:t>made thresholds data; T-018 proved why. The pilot's anchoring score of 0.71 and</w:t>
      </w:r>
    </w:p>
    <w:p>
      <w:r>
        <w:t>today's 0.00 for the same consultation are both in the database and both correct,</w:t>
      </w:r>
    </w:p>
    <w:p>
      <w:r>
        <w:t>because each carries its engine version.</w:t>
      </w:r>
    </w:p>
    <w:p/>
    <w:p>
      <w:pPr>
        <w:pStyle w:val="Heading2"/>
      </w:pPr>
      <w:r>
        <w:t>4 · The one that is worth defending in a viva</w:t>
      </w:r>
    </w:p>
    <w:p>
      <w:r>
        <w:t>T-016 replayed the 16 pilot sessions through the shipped engine. **Fifteen</w:t>
      </w:r>
    </w:p>
    <w:p>
      <w:r>
        <w:t>reproduce exactly.** One does not, and the reason is traceable to a commit:</w:t>
      </w:r>
    </w:p>
    <w:p>
      <w:r>
        <w:t>Case 2 is the pulmonary embolism case. A learner asked *"did you catch a travel</w:t>
      </w:r>
    </w:p>
    <w:p>
      <w:r>
        <w:t>bug on the flight?"* — and the pilot-era anchor keyword list contained</w:t>
      </w:r>
    </w:p>
    <w:p>
      <w:r>
        <w:rPr>
          <w:rFonts w:ascii="Consolas" w:hAnsi="Consolas"/>
          <w:sz w:val="19"/>
        </w:rPr>
        <w:t>"travel bug"</w:t>
      </w:r>
      <w:r>
        <w:t xml:space="preserve">, so the question that pointed </w:t>
      </w:r>
      <w:r>
        <w:rPr>
          <w:b/>
        </w:rPr>
        <w:t>at</w:t>
      </w:r>
      <w:r>
        <w:t xml:space="preserve"> the correct diagnosis was</w:t>
      </w:r>
    </w:p>
    <w:p>
      <w:r>
        <w:t>counted as evidence of anchoring. The keyword overlapped a contradictory clue,</w:t>
      </w:r>
    </w:p>
    <w:p>
      <w:r>
        <w:t>which invariant C-4 forbids, and it was removed.</w:t>
      </w:r>
    </w:p>
    <w:p>
      <w:r>
        <w:t>So the single divergence is the fix working: it is the one case in the published</w:t>
      </w:r>
    </w:p>
    <w:p>
      <w:r>
        <w:t>pilot where a learner was marked down partly for asking the best question</w:t>
      </w:r>
    </w:p>
    <w:p>
      <w:r>
        <w:t>available to them. Both numbers are now stored, each under its own engine</w:t>
      </w:r>
    </w:p>
    <w:p>
      <w:r>
        <w:t>version, and a test fails if a sixteenth divergence appears **or if this one</w:t>
      </w:r>
    </w:p>
    <w:p>
      <w:r>
        <w:t>silently heals** — because a match would most likely mean the fix had been</w:t>
      </w:r>
    </w:p>
    <w:p>
      <w:r>
        <w:t>reverted.</w:t>
      </w:r>
    </w:p>
    <w:p/>
    <w:p>
      <w:pPr>
        <w:pStyle w:val="Heading2"/>
      </w:pPr>
      <w:r>
        <w:t>5 · What Phase 1 deliberately did not do</w:t>
      </w:r>
    </w:p>
    <w:p>
      <w:pPr>
        <w:pStyle w:val="ListBullet"/>
      </w:pPr>
      <w:r>
        <w:rPr>
          <w:b/>
        </w:rPr>
        <w:t>No JSON consultation API.</w:t>
      </w:r>
      <w:r>
        <w:t xml:space="preserve"> </w:t>
      </w:r>
      <w:r>
        <w:rPr>
          <w:rFonts w:ascii="Consolas" w:hAnsi="Consolas"/>
          <w:sz w:val="19"/>
        </w:rPr>
        <w:t>POST /v1/sessions</w:t>
      </w:r>
      <w:r>
        <w:t xml:space="preserve"> exists; asking questions and</w:t>
      </w:r>
    </w:p>
    <w:p>
      <w:r>
        <w:t xml:space="preserve">ordering investigations over JSON is T-030. A trial is started over </w:t>
      </w:r>
      <w:r>
        <w:rPr>
          <w:rFonts w:ascii="Consolas" w:hAnsi="Consolas"/>
          <w:sz w:val="19"/>
        </w:rPr>
        <w:t>/v1</w:t>
      </w:r>
      <w:r>
        <w:t xml:space="preserve"> and</w:t>
      </w:r>
    </w:p>
    <w:p>
      <w:r>
        <w:t>continued in the prototype.</w:t>
      </w:r>
    </w:p>
    <w:p>
      <w:pPr>
        <w:pStyle w:val="ListBullet"/>
      </w:pPr>
      <w:r>
        <w:rPr>
          <w:b/>
        </w:rPr>
        <w:t>No admin console</w:t>
      </w:r>
      <w:r>
        <w:t>, no case editor, no clinical review — all Phase 2.</w:t>
      </w:r>
    </w:p>
    <w:p>
      <w:pPr>
        <w:pStyle w:val="ListBullet"/>
      </w:pPr>
      <w:r>
        <w:rPr>
          <w:b/>
        </w:rPr>
        <w:t>The server-rendered prototype still exists</w:t>
      </w:r>
      <w:r>
        <w:t>, unlimited and unauthenticated,</w:t>
      </w:r>
    </w:p>
    <w:p>
      <w:r>
        <w:t>as a development surface. It is deleted at T-030, and the free-tier and</w:t>
      </w:r>
    </w:p>
    <w:p>
      <w:r>
        <w:t xml:space="preserve">one-trial limits are enforced only on </w:t>
      </w:r>
      <w:r>
        <w:rPr>
          <w:rFonts w:ascii="Consolas" w:hAnsi="Consolas"/>
          <w:sz w:val="19"/>
        </w:rPr>
        <w:t>/v1</w:t>
      </w:r>
      <w:r>
        <w:t xml:space="preserve"> until then. That is a</w:t>
      </w:r>
    </w:p>
    <w:p>
      <w:r>
        <w:t>surface-based exemption, not a role-based one, and it expires when the surface</w:t>
      </w:r>
    </w:p>
    <w:p>
      <w:r>
        <w:t>does.</w:t>
      </w:r>
    </w:p>
    <w:p>
      <w:pPr>
        <w:pStyle w:val="ListBullet"/>
      </w:pPr>
      <w:r>
        <w:rPr>
          <w:b/>
        </w:rPr>
        <w:t>The pilot import is not run in production.</w:t>
      </w:r>
      <w:r>
        <w:t xml:space="preserve"> Whether real participants' data</w:t>
      </w:r>
    </w:p>
    <w:p>
      <w:r>
        <w:t>belongs there is a privacy decision, taken separately.</w:t>
      </w:r>
    </w:p>
    <w:p/>
    <w:p>
      <w:pPr>
        <w:pStyle w:val="Heading2"/>
      </w:pPr>
      <w:r>
        <w:t>6 · The state entering Phase 2</w:t>
      </w:r>
    </w:p>
    <w:p>
      <w:r>
        <w:rPr>
          <w:b/>
        </w:rPr>
        <w:t>The gate is T-023.</w:t>
      </w:r>
      <w:r>
        <w:t xml:space="preserve"> Four tasks in a row have hit the same wall:</w:t>
      </w:r>
    </w:p>
    <w:p>
      <w:r>
        <w:t xml:space="preserve">The five seeded cases are </w:t>
      </w:r>
      <w:r>
        <w:rPr>
          <w:b/>
        </w:rPr>
        <w:t>drafts</w:t>
      </w:r>
      <w:r>
        <w:t xml:space="preserve">, on purpose — </w:t>
      </w:r>
      <w:r>
        <w:rPr>
          <w:rFonts w:ascii="Consolas" w:hAnsi="Consolas"/>
          <w:sz w:val="19"/>
        </w:rPr>
        <w:t>DATA_MODEL</w:t>
      </w:r>
      <w:r>
        <w:t xml:space="preserve"> §9.2 says</w:t>
      </w:r>
    </w:p>
    <w:p>
      <w:r>
        <w:t>publishing them without review would make the publication gate a formality. The</w:t>
      </w:r>
    </w:p>
    <w:p>
      <w:r>
        <w:t>gate refuses to publish without an approving clinical review. Case selection</w:t>
      </w:r>
    </w:p>
    <w:p>
      <w:r>
        <w:t xml:space="preserve">filters on </w:t>
      </w:r>
      <w:r>
        <w:rPr>
          <w:rFonts w:ascii="Consolas" w:hAnsi="Consolas"/>
          <w:sz w:val="19"/>
        </w:rPr>
        <w:t>status = 'published'</w:t>
      </w:r>
      <w:r>
        <w:t>. So selection correctly finds nothing, and</w:t>
      </w:r>
    </w:p>
    <w:p>
      <w:r>
        <w:rPr>
          <w:rFonts w:ascii="Consolas" w:hAnsi="Consolas"/>
          <w:sz w:val="19"/>
        </w:rPr>
        <w:t>no_cases_available</w:t>
      </w:r>
      <w:r>
        <w:t xml:space="preserve"> is the honest answer until a clinician can approve a case.</w:t>
      </w:r>
    </w:p>
    <w:p>
      <w:r>
        <w:rPr>
          <w:rFonts w:ascii="Consolas" w:hAnsi="Consolas"/>
          <w:sz w:val="19"/>
        </w:rPr>
        <w:t>BUILD_PLAN</w:t>
      </w:r>
      <w:r>
        <w:t xml:space="preserve"> §2.1 said this before any of it was built:</w:t>
      </w:r>
    </w:p>
    <w:p>
      <w:pPr>
        <w:ind w:left="480"/>
      </w:pPr>
      <w:r>
        <w:rPr>
          <w:b/>
          <w:i/>
        </w:rPr>
        <w:t>T-023 unblocks your two clinician reviewers.</w:t>
      </w:r>
      <w:r>
        <w:rPr>
          <w:i/>
        </w:rPr>
        <w:t xml:space="preserve"> Until it exists, only a</w:t>
      </w:r>
    </w:p>
    <w:p>
      <w:pPr>
        <w:ind w:left="480"/>
      </w:pPr>
      <w:r>
        <w:rPr>
          <w:i/>
        </w:rPr>
        <w:t>programmer can look at a case, and content authoring — which is on its own</w:t>
      </w:r>
    </w:p>
    <w:p>
      <w:pPr>
        <w:ind w:left="480"/>
      </w:pPr>
      <w:r>
        <w:rPr>
          <w:i/>
        </w:rPr>
        <w:t>critical path — cannot start in earnest.</w:t>
      </w:r>
    </w:p>
    <w:p>
      <w:r>
        <w:t>Phase 2's goal is one sentence: *clinicians can review cases without reading</w:t>
      </w:r>
    </w:p>
    <w:p>
      <w:r>
        <w:t xml:space="preserve">code.* It is 11 days, and </w:t>
      </w:r>
      <w:r>
        <w:rPr>
          <w:rFonts w:ascii="Consolas" w:hAnsi="Consolas"/>
          <w:sz w:val="19"/>
        </w:rPr>
        <w:t>BUILD_PLAN</w:t>
      </w:r>
      <w:r>
        <w:t xml:space="preserve"> calls it the milestone that matters most.</w:t>
      </w:r>
    </w:p>
    <w:p>
      <w:r>
        <w:rPr>
          <w:b/>
        </w:rPr>
        <w:t>One decision remains open</w:t>
      </w:r>
      <w:r>
        <w:t>: the Supabase region (</w:t>
      </w:r>
      <w:r>
        <w:rPr>
          <w:rFonts w:ascii="Consolas" w:hAnsi="Consolas"/>
          <w:sz w:val="19"/>
        </w:rPr>
        <w:t>SECURITY_SPEC</w:t>
      </w:r>
      <w:r>
        <w:t xml:space="preserve"> S-4). It</w:t>
      </w:r>
    </w:p>
    <w:p>
      <w:r>
        <w:t>blocks launch, not the next task — I said three times that it blocked T-014 and</w:t>
      </w:r>
    </w:p>
    <w:p>
      <w:r>
        <w:t>T-015, and it did not.</w:t>
      </w:r>
    </w:p>
    <w:p/>
    <w:p>
      <w:r>
        <w:t>*There is no Phase 0 summary. Phase 0's seven build logs were written as it</w:t>
      </w:r>
    </w:p>
    <w:p>
      <w:r>
        <w:t>happened; a retrospective now would be reconstructed rather than observed, and</w:t>
      </w:r>
    </w:p>
    <w:p>
      <w:r>
        <w:t>this document is only worth having because it was written the day the phase</w:t>
      </w:r>
    </w:p>
    <w:p>
      <w:r>
        <w:t>closed.*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