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TECH SPEC</w:t>
      </w:r>
    </w:p>
    <w:p>
      <w:r>
        <w:rPr>
          <w:i/>
          <w:sz w:val="17"/>
        </w:rPr>
        <w:t>Nidan · generated from docs/spec/TECH_SPEC.md on 2026-09-21</w:t>
      </w:r>
    </w:p>
    <w:p>
      <w:pPr>
        <w:pStyle w:val="Heading1"/>
      </w:pPr>
      <w:r>
        <w:t>Nidan — Technical Specification</w:t>
      </w:r>
    </w:p>
    <w:p/>
    <w:p>
      <w:pPr>
        <w:pStyle w:val="Heading2"/>
      </w:pPr>
      <w:r>
        <w:t>Contents</w:t>
      </w:r>
    </w:p>
    <w:p>
      <w:r>
        <w:rPr>
          <w:b/>
        </w:rPr>
        <w:t>1. Document control</w:t>
      </w:r>
    </w:p>
    <w:p>
      <w:r>
        <w:t>&amp;nbsp;&amp;nbsp;&amp;nbsp;&amp;nbsp;1.1 Scope and boundaries</w:t>
      </w:r>
    </w:p>
    <w:p>
      <w:r>
        <w:t>&amp;nbsp;&amp;nbsp;&amp;nbsp;&amp;nbsp;1.2 Supersedes</w:t>
      </w:r>
    </w:p>
    <w:p>
      <w:r>
        <w:rPr>
          <w:b/>
        </w:rPr>
        <w:t>2. System overview</w:t>
      </w:r>
    </w:p>
    <w:p>
      <w:r>
        <w:t>&amp;nbsp;&amp;nbsp;&amp;nbsp;&amp;nbsp;2.1 What the system does</w:t>
      </w:r>
    </w:p>
    <w:p>
      <w:r>
        <w:t>&amp;nbsp;&amp;nbsp;&amp;nbsp;&amp;nbsp;2.2 Three load-bearing properties</w:t>
      </w:r>
    </w:p>
    <w:p>
      <w:r>
        <w:t>&amp;nbsp;&amp;nbsp;&amp;nbsp;&amp;nbsp;2.3 Context</w:t>
      </w:r>
    </w:p>
    <w:p>
      <w:r>
        <w:rPr>
          <w:b/>
        </w:rPr>
        <w:t>3. Architecture</w:t>
      </w:r>
    </w:p>
    <w:p>
      <w:r>
        <w:t>&amp;nbsp;&amp;nbsp;&amp;nbsp;&amp;nbsp;3.1 Component model</w:t>
      </w:r>
    </w:p>
    <w:p>
      <w:r>
        <w:t>&amp;nbsp;&amp;nbsp;&amp;nbsp;&amp;nbsp;3.2 Request lifecycle</w:t>
      </w:r>
    </w:p>
    <w:p>
      <w:r>
        <w:t>&amp;nbsp;&amp;nbsp;&amp;nbsp;&amp;nbsp;3.3 Consultation data flow</w:t>
      </w:r>
    </w:p>
    <w:p>
      <w:r>
        <w:rPr>
          <w:b/>
        </w:rPr>
        <w:t>4. The assessment engine</w:t>
      </w:r>
    </w:p>
    <w:p>
      <w:r>
        <w:t>&amp;nbsp;&amp;nbsp;&amp;nbsp;&amp;nbsp;4.1 Interface</w:t>
      </w:r>
    </w:p>
    <w:p>
      <w:r>
        <w:t>&amp;nbsp;&amp;nbsp;&amp;nbsp;&amp;nbsp;4.2 Topic extraction</w:t>
      </w:r>
    </w:p>
    <w:p>
      <w:r>
        <w:t>&amp;nbsp;&amp;nbsp;&amp;nbsp;&amp;nbsp;4.3 The three detectors</w:t>
      </w:r>
    </w:p>
    <w:p>
      <w:r>
        <w:t>&amp;nbsp;&amp;nbsp;&amp;nbsp;&amp;nbsp;4.4 Validation</w:t>
      </w:r>
    </w:p>
    <w:p>
      <w:r>
        <w:t>&amp;nbsp;&amp;nbsp;&amp;nbsp;&amp;nbsp;4.5 The defect this validation found</w:t>
      </w:r>
    </w:p>
    <w:p>
      <w:r>
        <w:rPr>
          <w:b/>
        </w:rPr>
        <w:t>5. LLM gateway</w:t>
      </w:r>
    </w:p>
    <w:p>
      <w:r>
        <w:t>&amp;nbsp;&amp;nbsp;&amp;nbsp;&amp;nbsp;5.1 Responsibilities</w:t>
      </w:r>
    </w:p>
    <w:p>
      <w:r>
        <w:t>&amp;nbsp;&amp;nbsp;&amp;nbsp;&amp;nbsp;5.2 Model selection</w:t>
      </w:r>
    </w:p>
    <w:p>
      <w:r>
        <w:t>&amp;nbsp;&amp;nbsp;&amp;nbsp;&amp;nbsp;5.3 Persona integrity — the largest residual risk</w:t>
      </w:r>
    </w:p>
    <w:p>
      <w:r>
        <w:rPr>
          <w:b/>
        </w:rPr>
        <w:t>6. Admin console</w:t>
      </w:r>
    </w:p>
    <w:p>
      <w:r>
        <w:t>&amp;nbsp;&amp;nbsp;&amp;nbsp;&amp;nbsp;6.1 Why it matters more than it sounds</w:t>
      </w:r>
    </w:p>
    <w:p>
      <w:r>
        <w:t>&amp;nbsp;&amp;nbsp;&amp;nbsp;&amp;nbsp;6.2 Architecture</w:t>
      </w:r>
    </w:p>
    <w:p>
      <w:r>
        <w:t>&amp;nbsp;&amp;nbsp;&amp;nbsp;&amp;nbsp;6.3 The two screens that carry the value</w:t>
      </w:r>
    </w:p>
    <w:p>
      <w:r>
        <w:t>&amp;nbsp;&amp;nbsp;&amp;nbsp;&amp;nbsp;6.4 Threshold impact preview</w:t>
      </w:r>
    </w:p>
    <w:p>
      <w:r>
        <w:t>&amp;nbsp;&amp;nbsp;&amp;nbsp;&amp;nbsp;6.5 Build strategy</w:t>
      </w:r>
    </w:p>
    <w:p>
      <w:r>
        <w:rPr>
          <w:b/>
        </w:rPr>
        <w:t>7. Case Factory</w:t>
      </w:r>
    </w:p>
    <w:p>
      <w:r>
        <w:t>&amp;nbsp;&amp;nbsp;&amp;nbsp;&amp;nbsp;7.1 Principle</w:t>
      </w:r>
    </w:p>
    <w:p>
      <w:r>
        <w:t>&amp;nbsp;&amp;nbsp;&amp;nbsp;&amp;nbsp;7.2 Pipeline</w:t>
      </w:r>
    </w:p>
    <w:p>
      <w:r>
        <w:t>&amp;nbsp;&amp;nbsp;&amp;nbsp;&amp;nbsp;7.3 Blocking constraint</w:t>
      </w:r>
    </w:p>
    <w:p>
      <w:r>
        <w:rPr>
          <w:b/>
        </w:rPr>
        <w:t>8. Frontend and mobile</w:t>
      </w:r>
    </w:p>
    <w:p>
      <w:r>
        <w:t>&amp;nbsp;&amp;nbsp;&amp;nbsp;&amp;nbsp;8.1 The UX constraints that are architectural</w:t>
      </w:r>
    </w:p>
    <w:p>
      <w:r>
        <w:rPr>
          <w:b/>
        </w:rPr>
        <w:t>9. Deployment</w:t>
      </w:r>
    </w:p>
    <w:p>
      <w:r>
        <w:t>&amp;nbsp;&amp;nbsp;&amp;nbsp;&amp;nbsp;9.1 Packaging</w:t>
      </w:r>
    </w:p>
    <w:p>
      <w:r>
        <w:t>&amp;nbsp;&amp;nbsp;&amp;nbsp;&amp;nbsp;9.2 Platform</w:t>
      </w:r>
    </w:p>
    <w:p>
      <w:r>
        <w:t>&amp;nbsp;&amp;nbsp;&amp;nbsp;&amp;nbsp;9.3 Environments</w:t>
      </w:r>
    </w:p>
    <w:p>
      <w:r>
        <w:t>&amp;nbsp;&amp;nbsp;&amp;nbsp;&amp;nbsp;9.4 CI/CD</w:t>
      </w:r>
    </w:p>
    <w:p>
      <w:r>
        <w:t>&amp;nbsp;&amp;nbsp;&amp;nbsp;&amp;nbsp;9.5 Database operations</w:t>
      </w:r>
    </w:p>
    <w:p>
      <w:r>
        <w:rPr>
          <w:b/>
        </w:rPr>
        <w:t>10. Observability</w:t>
      </w:r>
    </w:p>
    <w:p>
      <w:r>
        <w:t>&amp;nbsp;&amp;nbsp;&amp;nbsp;&amp;nbsp;10.1 Metrics that matter</w:t>
      </w:r>
    </w:p>
    <w:p>
      <w:r>
        <w:rPr>
          <w:b/>
        </w:rPr>
        <w:t>11. Security and privacy</w:t>
      </w:r>
    </w:p>
    <w:p>
      <w:r>
        <w:t>&amp;nbsp;&amp;nbsp;&amp;nbsp;&amp;nbsp;11.1 Position</w:t>
      </w:r>
    </w:p>
    <w:p>
      <w:r>
        <w:t>&amp;nbsp;&amp;nbsp;&amp;nbsp;&amp;nbsp;11.2 Support access</w:t>
      </w:r>
    </w:p>
    <w:p>
      <w:r>
        <w:t>&amp;nbsp;&amp;nbsp;&amp;nbsp;&amp;nbsp;11.3 Legal position</w:t>
      </w:r>
    </w:p>
    <w:p>
      <w:r>
        <w:rPr>
          <w:b/>
        </w:rPr>
        <w:t>12. Testing strategy</w:t>
      </w:r>
    </w:p>
    <w:p>
      <w:r>
        <w:rPr>
          <w:b/>
        </w:rPr>
        <w:t>13. Non-functional requirements</w:t>
      </w:r>
    </w:p>
    <w:p>
      <w:r>
        <w:rPr>
          <w:b/>
        </w:rPr>
        <w:t>14. Research operations</w:t>
      </w:r>
    </w:p>
    <w:p>
      <w:r>
        <w:rPr>
          <w:b/>
        </w:rPr>
        <w:t>15. Open technical questions</w:t>
      </w:r>
    </w:p>
    <w:p/>
    <w:p/>
    <w:p>
      <w:pPr>
        <w:pStyle w:val="Heading1"/>
      </w:pPr>
      <w:r>
        <w:t>1. 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t>Nidan Technical Specification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 xml:space="preserve">Draft — consolidates </w:t>
            </w:r>
            <w:r>
              <w:rPr>
                <w:rFonts w:ascii="Consolas" w:hAnsi="Consolas"/>
                <w:sz w:val="19"/>
              </w:rPr>
              <w:t>design/SYSTEM_DESIGN.md</w:t>
            </w:r>
            <w:r>
              <w:t xml:space="preserve"> and </w:t>
            </w:r>
            <w:r>
              <w:rPr>
                <w:rFonts w:ascii="Consolas" w:hAnsi="Consolas"/>
                <w:sz w:val="19"/>
              </w:rPr>
              <w:t>design/PLATFORM_SPEC.md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Owners</w:t>
            </w:r>
          </w:p>
        </w:tc>
        <w:tc>
          <w:tcPr>
            <w:tcW w:type="dxa" w:w="4320"/>
          </w:tcPr>
          <w:p>
            <w:r>
              <w:t>Vraj Patel, Yogesh Bagotia</w:t>
            </w:r>
          </w:p>
        </w:tc>
      </w:tr>
    </w:tbl>
    <w:p>
      <w:pPr>
        <w:pStyle w:val="Heading2"/>
      </w:pPr>
      <w:r>
        <w:t>1.1 Scope and boundaries</w:t>
      </w:r>
    </w:p>
    <w:p>
      <w:r>
        <w:t xml:space="preserve">This document describes </w:t>
      </w:r>
      <w:r>
        <w:rPr>
          <w:b/>
        </w:rPr>
        <w:t>how the system works</w:t>
      </w:r>
      <w:r>
        <w:t>. It deliberately does not repeat what belongs elsewhere: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See</w:t>
            </w:r>
          </w:p>
        </w:tc>
      </w:tr>
      <w:tr>
        <w:tc>
          <w:tcPr>
            <w:tcW w:type="dxa" w:w="4320"/>
          </w:tcPr>
          <w:p>
            <w:r>
              <w:t>What we are building and why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PRD.md</w:t>
            </w:r>
          </w:p>
        </w:tc>
      </w:tr>
      <w:tr>
        <w:tc>
          <w:tcPr>
            <w:tcW w:type="dxa" w:w="4320"/>
          </w:tcPr>
          <w:p>
            <w:r>
              <w:t>Why a technology was chosen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adr/</w:t>
            </w:r>
            <w:r>
              <w:t xml:space="preserve"> — 15 records</w:t>
            </w:r>
          </w:p>
        </w:tc>
      </w:tr>
      <w:tr>
        <w:tc>
          <w:tcPr>
            <w:tcW w:type="dxa" w:w="4320"/>
          </w:tcPr>
          <w:p>
            <w:r>
              <w:t>Every table and column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DATA_MODEL.md</w:t>
            </w:r>
          </w:p>
        </w:tc>
      </w:tr>
      <w:tr>
        <w:tc>
          <w:tcPr>
            <w:tcW w:type="dxa" w:w="4320"/>
          </w:tcPr>
          <w:p>
            <w:r>
              <w:t>Every endpoint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API_CONTRACT.md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openapi.yaml</w:t>
            </w:r>
          </w:p>
        </w:tc>
      </w:tr>
      <w:tr>
        <w:tc>
          <w:tcPr>
            <w:tcW w:type="dxa" w:w="4320"/>
          </w:tcPr>
          <w:p>
            <w:r>
              <w:t>Every screen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UX_SPEC.md</w:t>
            </w:r>
          </w:p>
        </w:tc>
      </w:tr>
      <w:tr>
        <w:tc>
          <w:tcPr>
            <w:tcW w:type="dxa" w:w="4320"/>
          </w:tcPr>
          <w:p>
            <w:r>
              <w:t>What to build in what order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BUILD_PLAN.md</w:t>
            </w:r>
          </w:p>
        </w:tc>
      </w:tr>
    </w:tbl>
    <w:p>
      <w:r>
        <w:rPr>
          <w:b/>
        </w:rPr>
        <w:t>Decisions are referenced, not re-argued.</w:t>
      </w:r>
      <w:r>
        <w:t xml:space="preserve"> Where this document states a choice, the reasoning is in the cited ADR. If you disagree with a choice, supersede the ADR rather than editing this document.</w:t>
      </w:r>
    </w:p>
    <w:p>
      <w:pPr>
        <w:pStyle w:val="Heading2"/>
      </w:pPr>
      <w:r>
        <w:t>1.2 Supersedes</w:t>
      </w:r>
    </w:p>
    <w:p>
      <w:r>
        <w:rPr>
          <w:rFonts w:ascii="Consolas" w:hAnsi="Consolas"/>
          <w:sz w:val="19"/>
        </w:rPr>
        <w:t>design/SYSTEM_DESIGN.md</w:t>
      </w:r>
      <w:r>
        <w:t xml:space="preserve"> (v1) and </w:t>
      </w:r>
      <w:r>
        <w:rPr>
          <w:rFonts w:ascii="Consolas" w:hAnsi="Consolas"/>
          <w:sz w:val="19"/>
        </w:rPr>
        <w:t>design/PLATFORM_SPEC.md</w:t>
      </w:r>
      <w:r>
        <w:t xml:space="preserve"> (v2) are superseded in full. They remain in the repository as historical record of how the design evolved — in particular the frontend reversal recorded in </w:t>
      </w:r>
      <w:r>
        <w:rPr>
          <w:rFonts w:ascii="Consolas" w:hAnsi="Consolas"/>
          <w:sz w:val="19"/>
        </w:rPr>
        <w:t>ADR-0006</w:t>
      </w:r>
      <w:r>
        <w:t>.</w:t>
      </w:r>
    </w:p>
    <w:p/>
    <w:p>
      <w:pPr>
        <w:pStyle w:val="Heading1"/>
      </w:pPr>
      <w:r>
        <w:t>2. System overview</w:t>
      </w:r>
    </w:p>
    <w:p>
      <w:pPr>
        <w:pStyle w:val="Heading2"/>
      </w:pPr>
      <w:r>
        <w:t>2.1 What the system does</w:t>
      </w:r>
    </w:p>
    <w:p>
      <w:r>
        <w:t>A learner interviews an LLM-driven virtual patient, orders examinations and investigations from an undifferentiated universal menu, and submits a diagnosis. The system records every action and, at conclusion, applies a deterministic rule engine that detects three cognitive biases, then returns Socratic feedback.</w:t>
      </w:r>
    </w:p>
    <w:p>
      <w:r>
        <w:rPr>
          <w:b/>
        </w:rPr>
        <w:t>The measurement is the product.</w:t>
      </w:r>
      <w:r>
        <w:t xml:space="preserve"> Every architectural decision defers to that.</w:t>
      </w:r>
    </w:p>
    <w:p>
      <w:pPr>
        <w:pStyle w:val="Heading2"/>
      </w:pPr>
      <w:r>
        <w:t>2.2 Three load-bearing properties</w:t>
      </w:r>
    </w:p>
    <w:p>
      <w:r>
        <w:t>These are the properties everything else protects. A change that breaks one of them is rejected regardless of its other merits.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Enforced by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PR-1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The LLM never marks.</w:t>
            </w:r>
            <w:r>
              <w:t xml:space="preserve"> Every flag, score and verdict is deterministic Python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ADR-0005</w:t>
            </w:r>
            <w:r>
              <w:t xml:space="preserve"> · architecture, §4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PR-2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Every judgement is traceable.</w:t>
            </w:r>
            <w:r>
              <w:t xml:space="preserve"> A flag cites the learner's own actions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ADR-0004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bias_detail.reason</w:t>
            </w:r>
            <w:r>
              <w:t xml:space="preserve"> and </w:t>
            </w:r>
            <w:r>
              <w:rPr>
                <w:rFonts w:ascii="Consolas" w:hAnsi="Consolas"/>
                <w:sz w:val="19"/>
              </w:rPr>
              <w:t>.evidence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PR-3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The event log is the source of truth.</w:t>
            </w:r>
            <w:r>
              <w:t xml:space="preserve"> Derived state is reproducible from it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ADR-0003</w:t>
            </w:r>
            <w:r>
              <w:t xml:space="preserve"> · append-only triggers</w:t>
            </w:r>
          </w:p>
        </w:tc>
      </w:tr>
    </w:tbl>
    <w:p>
      <w:r>
        <w:t>PR-1 is what made the pilot's data-integrity check possible: results were recomputed from stored questions and all 16 sessions matched exactly. That check remains a CI test (</w:t>
      </w:r>
      <w:r>
        <w:rPr>
          <w:rFonts w:ascii="Consolas" w:hAnsi="Consolas"/>
          <w:sz w:val="19"/>
        </w:rPr>
        <w:t>BUILD_PLAN</w:t>
      </w:r>
      <w:r>
        <w:t xml:space="preserve"> T-016).</w:t>
      </w:r>
    </w:p>
    <w:p>
      <w:pPr>
        <w:pStyle w:val="Heading2"/>
      </w:pPr>
      <w:r>
        <w:t>2.3 Context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 xml:space="preserve">   Learner ────────►┌──────────────────────────────┐</w:t>
        <w:br/>
        <w:t xml:space="preserve">                    │        Nidan Platform        │</w:t>
        <w:br/>
        <w:t xml:space="preserve"> Clinical    ──────►│                              │</w:t>
        <w:br/>
        <w:t xml:space="preserve"> reviewer           │  Next.js web · Flask API     │◄───► LLM providers</w:t>
        <w:br/>
        <w:t xml:space="preserve">                    │  Jinja admin · Assessment    │      (per-purpose routing)</w:t>
        <w:br/>
        <w:t xml:space="preserve">   Admin   ────────►│                              │</w:t>
        <w:br/>
        <w:t xml:space="preserve">                    └───────────┬──────────────────┘</w:t>
        <w:br/>
        <w:t xml:space="preserve">                                │</w:t>
        <w:br/>
        <w:t xml:space="preserve">                    ┌───────────▼───────────┐</w:t>
        <w:br/>
        <w:t xml:space="preserve">                    │  PostgreSQL + pgvector │</w:t>
        <w:br/>
        <w:t xml:space="preserve">                    │      (Supabase)        │</w:t>
        <w:br/>
        <w:t xml:space="preserve">                    └───────────┬───────────┘</w:t>
        <w:br/>
        <w:t xml:space="preserve">                                │</w:t>
        <w:br/>
        <w:t xml:space="preserve">                    ┌───────────▼────────────┐</w:t>
        <w:br/>
        <w:t xml:space="preserve">                    │   Case Factory (P7)    │◄─── public medical datasets</w:t>
        <w:br/>
        <w:t xml:space="preserve">                    └────────────────────────┘</w:t>
      </w:r>
    </w:p>
    <w:p/>
    <w:p>
      <w:pPr>
        <w:pStyle w:val="Heading1"/>
      </w:pPr>
      <w:r>
        <w:t>3. Architecture</w:t>
      </w:r>
    </w:p>
    <w:p>
      <w:pPr>
        <w:pStyle w:val="Heading2"/>
      </w:pPr>
      <w:r>
        <w:t>3.1 Component model</w:t>
      </w:r>
    </w:p>
    <w:p>
      <w:r>
        <w:t>Modular monolith (</w:t>
      </w:r>
      <w:r>
        <w:rPr>
          <w:rFonts w:ascii="Consolas" w:hAnsi="Consolas"/>
          <w:sz w:val="19"/>
        </w:rPr>
        <w:t>ADR-0009</w:t>
      </w:r>
      <w:r>
        <w:t>). One deployable, enforced internal layering.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nidan/</w:t>
        <w:br/>
        <w:t>├── api/            HTTP layer — routing, request/response schemas</w:t>
        <w:br/>
        <w:t>│   └── v1/</w:t>
        <w:br/>
        <w:t>├── domain/         Pure logic. No I/O. Fully unit-testable.</w:t>
        <w:br/>
        <w:t>│   ├── assessment/     topics · bias · clinical · engine</w:t>
        <w:br/>
        <w:t>│   ├── session.py      state reconstruction from events</w:t>
        <w:br/>
        <w:t>│   ├── selection.py    case allocation, allowance</w:t>
        <w:br/>
        <w:t>│   └── content.py      case invariants (C-1..C-7)</w:t>
        <w:br/>
        <w:t>├── infra/          I/O boundaries</w:t>
        <w:br/>
        <w:t>│   ├── db/             SQLAlchemy models, repositories</w:t>
        <w:br/>
        <w:t>│   ├── llm/            provider gateway</w:t>
        <w:br/>
        <w:t>│   ├── auth/           JWT verification</w:t>
        <w:br/>
        <w:t>│   └── telemetry/</w:t>
        <w:br/>
        <w:t>├── web/            Jinja templates — admin console only</w:t>
        <w:br/>
        <w:t>└── factory/        Case Factory (Phase 7)</w:t>
      </w:r>
    </w:p>
    <w:p>
      <w:r>
        <w:rPr>
          <w:b/>
        </w:rPr>
        <w:t>`domain/` must not import from `infra/` or `api/`.</w:t>
      </w:r>
      <w:r>
        <w:t xml:space="preserve"> Enforced by import-linter in CI (</w:t>
      </w:r>
      <w:r>
        <w:rPr>
          <w:rFonts w:ascii="Consolas" w:hAnsi="Consolas"/>
          <w:sz w:val="19"/>
        </w:rPr>
        <w:t>BUILD_PLAN</w:t>
      </w:r>
      <w:r>
        <w:t xml:space="preserve"> T-004). This is what keeps the assessment engine testable without a database and replayable for recomputation.</w:t>
      </w:r>
    </w:p>
    <w:p>
      <w:pPr>
        <w:pStyle w:val="Heading2"/>
      </w:pPr>
      <w:r>
        <w:t>3.2 Request lifecycle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HTTP request</w:t>
        <w:br/>
        <w:t xml:space="preserve">   │</w:t>
        <w:br/>
        <w:t xml:space="preserve">   ├─ JWT verified (JWKS, cached)              infra/auth</w:t>
        <w:br/>
        <w:t xml:space="preserve">   ├─ Profile loaded, tier resolved            infra/db</w:t>
        <w:br/>
        <w:t xml:space="preserve">   ├─ Rate limit checked                       api</w:t>
        <w:br/>
        <w:t xml:space="preserve">   ├─ Idempotency key checked                  infra/db</w:t>
        <w:br/>
        <w:t xml:space="preserve">   │</w:t>
        <w:br/>
        <w:t xml:space="preserve">   ├─ Session reconstructed from events        domain/session  ← PR-3</w:t>
        <w:br/>
        <w:t xml:space="preserve">   ├─ Business logic executed                  domain/</w:t>
        <w:br/>
        <w:t xml:space="preserve">   ├─ LLM called if needed                     infra/llm</w:t>
        <w:br/>
        <w:t xml:space="preserve">   ├─ Event appended                           infra/db</w:t>
        <w:br/>
        <w:t xml:space="preserve">   │</w:t>
        <w:br/>
        <w:t xml:space="preserve">   └─ Response serialised per openapi.yaml     api</w:t>
      </w:r>
    </w:p>
    <w:p>
      <w:pPr>
        <w:pStyle w:val="Heading2"/>
      </w:pPr>
      <w:r>
        <w:t>3.3 Consultation data flow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STAGE 1 — during the consultation</w:t>
        <w:br/>
        <w:t xml:space="preserve">  learner types a question</w:t>
        <w:br/>
        <w:t xml:space="preserve">        └─► session_events(type=question)</w:t>
        <w:br/>
        <w:t xml:space="preserve">                 └─► topic extraction, stored on the reply event</w:t>
        <w:br/>
        <w:t xml:space="preserve">        └─► LLM patient call ──► session_events(type=patient_reply)</w:t>
        <w:br/>
        <w:t xml:space="preserve">                 └─► leakage check ──► leakage_flags (if triggered)</w:t>
        <w:br/>
        <w:br/>
        <w:t xml:space="preserve">  learner selects an examination or investigation</w:t>
        <w:br/>
        <w:t xml:space="preserve">        └─► session_events(type=examination | investigation)</w:t>
        <w:br/>
        <w:br/>
        <w:t>STAGE 2 — on diagnosis submission</w:t>
        <w:br/>
        <w:t xml:space="preserve">  session_events replayed ──► session state</w:t>
        <w:br/>
        <w:t xml:space="preserve">        ├─► bias detectors        ─┐</w:t>
        <w:br/>
        <w:t xml:space="preserve">        ├─► clinical evaluator     ├─► session_results (+ engine_version_id)</w:t>
        <w:br/>
        <w:t xml:space="preserve">        └─► feedback generator    ─┘         │</w:t>
        <w:br/>
        <w:t xml:space="preserve">                                              └─► feedback_texts</w:t>
        <w:br/>
        <w:t xml:space="preserve">        └─► user_progress updated in the same transaction</w:t>
        <w:br/>
        <w:br/>
        <w:t>STAGE 3 — offline</w:t>
        <w:br/>
        <w:t xml:space="preserve">  session_results ──► analytics, research export, case difficulty monitoring</w:t>
      </w:r>
    </w:p>
    <w:p>
      <w:r>
        <w:rPr>
          <w:b/>
        </w:rPr>
        <w:t>Note what is absent from Stage 1: no assessment state is ever returned to the client during a consultation.</w:t>
      </w:r>
      <w:r>
        <w:t xml:space="preserve"> That is </w:t>
      </w:r>
      <w:r>
        <w:rPr>
          <w:rFonts w:ascii="Consolas" w:hAnsi="Consolas"/>
          <w:sz w:val="19"/>
        </w:rPr>
        <w:t>PRD</w:t>
      </w:r>
      <w:r>
        <w:t xml:space="preserve"> P2, enforced by contract tests CT-1 and CT-2.</w:t>
      </w:r>
    </w:p>
    <w:p/>
    <w:p>
      <w:pPr>
        <w:pStyle w:val="Heading1"/>
      </w:pPr>
      <w:r>
        <w:t>4. The assessment engine</w:t>
      </w:r>
    </w:p>
    <w:p>
      <w:r>
        <w:t>The core intellectual property. Everything else is scaffolding around it.</w:t>
      </w:r>
    </w:p>
    <w:p>
      <w:pPr>
        <w:pStyle w:val="Heading2"/>
      </w:pPr>
      <w:r>
        <w:t>4.1 Interface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@dataclass(frozen=True)</w:t>
        <w:br/>
        <w:t>class EngineVersion:</w:t>
        <w:br/>
        <w:t xml:space="preserve">    version: str</w:t>
        <w:br/>
        <w:t xml:space="preserve">    detector_version: str</w:t>
        <w:br/>
        <w:t xml:space="preserve">    lexicon_version: str</w:t>
        <w:br/>
        <w:t xml:space="preserve">    encoder_model: str | None</w:t>
        <w:br/>
        <w:t xml:space="preserve">    thresholds: Thresholds        # every constant, from the database</w:t>
        <w:br/>
        <w:br/>
        <w:t>def assess(events: list[Event],</w:t>
        <w:br/>
        <w:t xml:space="preserve">           case: CaseContent,</w:t>
        <w:br/>
        <w:t xml:space="preserve">           engine: EngineVersion) -&gt; AssessmentResult</w:t>
      </w:r>
    </w:p>
    <w:p>
      <w:r>
        <w:rPr>
          <w:b/>
        </w:rPr>
        <w:t>Pure function.</w:t>
      </w:r>
      <w:r>
        <w:t xml:space="preserve"> Same inputs → same outputs, always. No clock, no randomness, no network.</w:t>
      </w:r>
    </w:p>
    <w:p>
      <w:r>
        <w:rPr>
          <w:b/>
        </w:rPr>
        <w:t>Thresholds are inputs, not constants.</w:t>
      </w:r>
      <w:r>
        <w:t xml:space="preserve"> This is what makes threshold calibration a data operation rather than a code change (</w:t>
      </w:r>
      <w:r>
        <w:rPr>
          <w:rFonts w:ascii="Consolas" w:hAnsi="Consolas"/>
          <w:sz w:val="19"/>
        </w:rPr>
        <w:t>ADR-0004</w:t>
      </w:r>
      <w:r>
        <w:t xml:space="preserve">, </w:t>
      </w:r>
      <w:r>
        <w:rPr>
          <w:rFonts w:ascii="Consolas" w:hAnsi="Consolas"/>
          <w:sz w:val="19"/>
        </w:rPr>
        <w:t>DATA_MODEL</w:t>
      </w:r>
      <w:r>
        <w:t xml:space="preserve"> §6.4).</w:t>
      </w:r>
    </w:p>
    <w:p>
      <w:pPr>
        <w:pStyle w:val="Heading2"/>
      </w:pPr>
      <w:r>
        <w:t>4.2 Topic extraction</w:t>
      </w:r>
    </w:p>
    <w:p>
      <w:r>
        <w:t>Currently case-insensitive substring matching against 523 curated phrases across 40 topics.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question ──► normalise ──► for each topic: any phrase ⊆ question?</w:t>
        <w:br/>
        <w:t xml:space="preserve">                                  └─► topic marked covered (once per message)</w:t>
      </w:r>
    </w:p>
    <w:p>
      <w:r>
        <w:t>Coverage = |required_topics ∩ covered| / |required_topics|.</w:t>
      </w:r>
    </w:p>
    <w:p>
      <w:r>
        <w:rPr>
          <w:b/>
        </w:rPr>
        <w:t>Known limitation:</w:t>
      </w:r>
      <w:r>
        <w:t xml:space="preserve"> lexical matching misses paraphrase. Every error in detector validation traced here. The hybrid embedding upgrade is </w:t>
      </w:r>
      <w:r>
        <w:rPr>
          <w:rFonts w:ascii="Consolas" w:hAnsi="Consolas"/>
          <w:sz w:val="19"/>
        </w:rPr>
        <w:t>ADR-0013</w:t>
      </w:r>
      <w:r>
        <w:t>, Phase 5.</w:t>
      </w:r>
    </w:p>
    <w:p>
      <w:r>
        <w:t xml:space="preserve">The upgrade preserves PR-2: evidence becomes </w:t>
      </w:r>
      <w:r>
        <w:rPr>
          <w:i/>
        </w:rPr>
        <w:t>"'does a rich evening dinner set it off?' matched 'meal relationship' (similarity 0.81)"</w:t>
      </w:r>
      <w:r>
        <w:t xml:space="preserve"> — arguably more informative than a keyword hit.</w:t>
      </w:r>
    </w:p>
    <w:p>
      <w:pPr>
        <w:pStyle w:val="Heading2"/>
      </w:pPr>
      <w:r>
        <w:t>4.3 The three detectors</w:t>
      </w:r>
    </w:p>
    <w:p>
      <w:r>
        <w:t xml:space="preserve">Each returns </w:t>
      </w:r>
      <w:r>
        <w:rPr>
          <w:rFonts w:ascii="Consolas" w:hAnsi="Consolas"/>
          <w:sz w:val="19"/>
        </w:rPr>
        <w:t>{detected, score, rule_fired, reason, evidence, counters}</w:t>
      </w:r>
      <w:r>
        <w:t>.</w:t>
      </w:r>
    </w:p>
    <w:p>
      <w:r>
        <w:t xml:space="preserve">Let </w:t>
      </w:r>
      <w:r>
        <w:rPr>
          <w:rFonts w:ascii="Consolas" w:hAnsi="Consolas"/>
          <w:sz w:val="19"/>
        </w:rPr>
        <w:t>q</w:t>
      </w:r>
      <w:r>
        <w:t xml:space="preserve"> = questions, </w:t>
      </w:r>
      <w:r>
        <w:rPr>
          <w:rFonts w:ascii="Consolas" w:hAnsi="Consolas"/>
          <w:sz w:val="19"/>
        </w:rPr>
        <w:t>a</w:t>
      </w:r>
      <w:r>
        <w:t xml:space="preserve"> = questions matching anchor keywords, </w:t>
      </w:r>
      <w:r>
        <w:rPr>
          <w:rFonts w:ascii="Consolas" w:hAnsi="Consolas"/>
          <w:sz w:val="19"/>
        </w:rPr>
        <w:t>m</w:t>
      </w:r>
      <w:r>
        <w:t xml:space="preserve"> = questions matching alternatives, </w:t>
      </w:r>
      <w:r>
        <w:rPr>
          <w:rFonts w:ascii="Consolas" w:hAnsi="Consolas"/>
          <w:sz w:val="19"/>
        </w:rPr>
        <w:t>c</w:t>
      </w:r>
      <w:r>
        <w:t xml:space="preserve"> = coverage fraction, </w:t>
      </w:r>
      <w:r>
        <w:rPr>
          <w:rFonts w:ascii="Consolas" w:hAnsi="Consolas"/>
          <w:sz w:val="19"/>
        </w:rPr>
        <w:t>k</w:t>
      </w:r>
      <w:r>
        <w:t>/</w:t>
      </w:r>
      <w:r>
        <w:rPr>
          <w:rFonts w:ascii="Consolas" w:hAnsi="Consolas"/>
          <w:sz w:val="19"/>
        </w:rPr>
        <w:t>K</w:t>
      </w:r>
      <w:r>
        <w:t xml:space="preserve"> = contradictory clues explored.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Detector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Rules (OR'd)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Score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Anchoring</w:t>
            </w:r>
          </w:p>
        </w:tc>
        <w:tc>
          <w:tcPr>
            <w:tcW w:type="dxa" w:w="2880"/>
          </w:tcPr>
          <w:p>
            <w:r>
              <w:t xml:space="preserve">A1: </w:t>
            </w:r>
            <w:r>
              <w:rPr>
                <w:rFonts w:ascii="Consolas" w:hAnsi="Consolas"/>
                <w:sz w:val="19"/>
              </w:rPr>
              <w:t>q ≥ 4 ∧ a/q &gt; 0.60</w:t>
            </w:r>
            <w:r>
              <w:t xml:space="preserve"> · A2: </w:t>
            </w:r>
            <w:r>
              <w:rPr>
                <w:rFonts w:ascii="Consolas" w:hAnsi="Consolas"/>
                <w:sz w:val="19"/>
              </w:rPr>
              <w:t>a ≥ 3 ∧ m = 0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max(a/q, 0.85)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Premature closure</w:t>
            </w:r>
          </w:p>
        </w:tc>
        <w:tc>
          <w:tcPr>
            <w:tcW w:type="dxa" w:w="2880"/>
          </w:tcPr>
          <w:p>
            <w:r>
              <w:t xml:space="preserve">P1: </w:t>
            </w:r>
            <w:r>
              <w:rPr>
                <w:rFonts w:ascii="Consolas" w:hAnsi="Consolas"/>
                <w:sz w:val="19"/>
              </w:rPr>
              <w:t>q &lt; q_min</w:t>
            </w:r>
            <w:r>
              <w:t xml:space="preserve"> · P2: </w:t>
            </w:r>
            <w:r>
              <w:rPr>
                <w:rFonts w:ascii="Consolas" w:hAnsi="Consolas"/>
                <w:sz w:val="19"/>
              </w:rPr>
              <w:t>c &lt; 0.60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max(1−q/q_min ⌊0.1⌋, 1−c)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Confirmation bias</w:t>
            </w:r>
          </w:p>
        </w:tc>
        <w:tc>
          <w:tcPr>
            <w:tcW w:type="dxa" w:w="2880"/>
          </w:tcPr>
          <w:p>
            <w:r>
              <w:t xml:space="preserve">C1: trap diagnosed ∧ </w:t>
            </w:r>
            <w:r>
              <w:rPr>
                <w:rFonts w:ascii="Consolas" w:hAnsi="Consolas"/>
                <w:sz w:val="19"/>
              </w:rPr>
              <w:t>k = 0</w:t>
            </w:r>
            <w:r>
              <w:t xml:space="preserve"> · C2: </w:t>
            </w:r>
            <w:r>
              <w:rPr>
                <w:rFonts w:ascii="Consolas" w:hAnsi="Consolas"/>
                <w:sz w:val="19"/>
              </w:rPr>
              <w:t>q ≥ 5 ∧ k/K &lt; 0.25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max(0.90, 1−k/K)</w:t>
            </w:r>
          </w:p>
        </w:tc>
      </w:tr>
    </w:tbl>
    <w:p>
      <w:r>
        <w:rPr>
          <w:b/>
        </w:rPr>
        <w:t>Why OR and not AND:</w:t>
      </w:r>
      <w:r>
        <w:t xml:space="preserve"> each rule catches a different failure mode and neither subsumes the other. A1 catches heavy skew across many questions; A2 catches few questions with zero breadth. AND-ing them would miss the second pattern entirely.</w:t>
      </w:r>
    </w:p>
    <w:p>
      <w:r>
        <w:rPr>
          <w:b/>
        </w:rPr>
        <w:t>Why `max` for the score:</w:t>
      </w:r>
      <w:r>
        <w:t xml:space="preserve"> severity should reflect the strongest available evidence, and should be monotonic as evidence accumulates.</w:t>
      </w:r>
    </w:p>
    <w:p>
      <w:r>
        <w:rPr>
          <w:b/>
        </w:rPr>
        <w:t>The guards</w:t>
      </w:r>
      <w:r>
        <w:t xml:space="preserve"> (</w:t>
      </w:r>
      <w:r>
        <w:rPr>
          <w:rFonts w:ascii="Consolas" w:hAnsi="Consolas"/>
          <w:sz w:val="19"/>
        </w:rPr>
        <w:t>q ≥ 4</w:t>
      </w:r>
      <w:r>
        <w:t xml:space="preserve">, </w:t>
      </w:r>
      <w:r>
        <w:rPr>
          <w:rFonts w:ascii="Consolas" w:hAnsi="Consolas"/>
          <w:sz w:val="19"/>
        </w:rPr>
        <w:t>q ≥ 5</w:t>
      </w:r>
      <w:r>
        <w:t xml:space="preserve">, score floor </w:t>
      </w:r>
      <w:r>
        <w:rPr>
          <w:rFonts w:ascii="Consolas" w:hAnsi="Consolas"/>
          <w:sz w:val="19"/>
        </w:rPr>
        <w:t>0.1</w:t>
      </w:r>
      <w:r>
        <w:t xml:space="preserve">) prevent small-sample artefacts and prevent a </w:t>
      </w:r>
      <w:r>
        <w:rPr>
          <w:i/>
        </w:rPr>
        <w:t>detected</w:t>
      </w:r>
      <w:r>
        <w:t xml:space="preserve"> flag carrying a near-zero score, which would read as self-contradictory.</w:t>
      </w:r>
    </w:p>
    <w:p>
      <w:pPr>
        <w:pStyle w:val="Heading2"/>
      </w:pPr>
      <w:r>
        <w:t>4.4 Validation</w:t>
      </w:r>
    </w:p>
    <w:p>
      <w:r>
        <w:t xml:space="preserve">18 hand-labelled transcripts across all five cases, four reasoning styles including deliberately paraphrased adversarial cases. Executed through the </w:t>
      </w:r>
      <w:r>
        <w:rPr>
          <w:b/>
        </w:rPr>
        <w:t>production</w:t>
      </w:r>
      <w:r>
        <w:t xml:space="preserve"> pipeline, not a reimplementation.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Detector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Sensitivity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Specificity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Accuracy</w:t>
            </w:r>
          </w:p>
        </w:tc>
      </w:tr>
      <w:tr>
        <w:tc>
          <w:tcPr>
            <w:tcW w:type="dxa" w:w="2160"/>
          </w:tcPr>
          <w:p>
            <w:r>
              <w:t>Anchoring</w:t>
            </w:r>
          </w:p>
        </w:tc>
        <w:tc>
          <w:tcPr>
            <w:tcW w:type="dxa" w:w="2160"/>
          </w:tcPr>
          <w:p>
            <w:r>
              <w:t>100 %</w:t>
            </w:r>
          </w:p>
        </w:tc>
        <w:tc>
          <w:tcPr>
            <w:tcW w:type="dxa" w:w="2160"/>
          </w:tcPr>
          <w:p>
            <w:r>
              <w:t>100 %</w:t>
            </w:r>
          </w:p>
        </w:tc>
        <w:tc>
          <w:tcPr>
            <w:tcW w:type="dxa" w:w="2160"/>
          </w:tcPr>
          <w:p>
            <w:r>
              <w:t>100 %</w:t>
            </w:r>
          </w:p>
        </w:tc>
      </w:tr>
      <w:tr>
        <w:tc>
          <w:tcPr>
            <w:tcW w:type="dxa" w:w="2160"/>
          </w:tcPr>
          <w:p>
            <w:r>
              <w:t>Premature closure</w:t>
            </w:r>
          </w:p>
        </w:tc>
        <w:tc>
          <w:tcPr>
            <w:tcW w:type="dxa" w:w="2160"/>
          </w:tcPr>
          <w:p>
            <w:r>
              <w:t>100 %</w:t>
            </w:r>
          </w:p>
        </w:tc>
        <w:tc>
          <w:tcPr>
            <w:tcW w:type="dxa" w:w="2160"/>
          </w:tcPr>
          <w:p>
            <w:r>
              <w:t>88 %</w:t>
            </w:r>
          </w:p>
        </w:tc>
        <w:tc>
          <w:tcPr>
            <w:tcW w:type="dxa" w:w="2160"/>
          </w:tcPr>
          <w:p>
            <w:r>
              <w:t>94 %</w:t>
            </w:r>
          </w:p>
        </w:tc>
      </w:tr>
      <w:tr>
        <w:tc>
          <w:tcPr>
            <w:tcW w:type="dxa" w:w="2160"/>
          </w:tcPr>
          <w:p>
            <w:r>
              <w:t>Confirmation bias</w:t>
            </w:r>
          </w:p>
        </w:tc>
        <w:tc>
          <w:tcPr>
            <w:tcW w:type="dxa" w:w="2160"/>
          </w:tcPr>
          <w:p>
            <w:r>
              <w:t>100 %</w:t>
            </w:r>
          </w:p>
        </w:tc>
        <w:tc>
          <w:tcPr>
            <w:tcW w:type="dxa" w:w="2160"/>
          </w:tcPr>
          <w:p>
            <w:r>
              <w:t>82 %</w:t>
            </w:r>
          </w:p>
        </w:tc>
        <w:tc>
          <w:tcPr>
            <w:tcW w:type="dxa" w:w="2160"/>
          </w:tcPr>
          <w:p>
            <w:r>
              <w:t>89 %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Overall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94 %</w:t>
            </w:r>
            <w:r>
              <w:t xml:space="preserve"> (51/54)</w:t>
            </w:r>
          </w:p>
        </w:tc>
      </w:tr>
    </w:tbl>
    <w:p>
      <w:r>
        <w:rPr>
          <w:b/>
        </w:rPr>
        <w:t>Zero false negatives across all three.</w:t>
      </w:r>
      <w:r>
        <w:t xml:space="preserve"> Sensitivity is weighted above specificity deliberately: a missed bias is a missed teaching moment, whereas a false alarm merely asks a learner to justify reasoning that was already sound.</w:t>
      </w:r>
    </w:p>
    <w:p>
      <w:r>
        <w:t>All three errors occurred on the two paraphrase-adversarial transcripts — the known lexical limitation, not a rule defect.</w:t>
      </w:r>
    </w:p>
    <w:p>
      <w:r>
        <w:rPr>
          <w:b/>
        </w:rPr>
        <w:t>This suite runs on every pull request and fails the build below 94 %</w:t>
      </w:r>
      <w:r>
        <w:t xml:space="preserve"> (</w:t>
      </w:r>
      <w:r>
        <w:rPr>
          <w:rFonts w:ascii="Consolas" w:hAnsi="Consolas"/>
          <w:sz w:val="19"/>
        </w:rPr>
        <w:t>BUILD_PLAN</w:t>
      </w:r>
      <w:r>
        <w:t xml:space="preserve"> T-004). The research claim is a CI check.</w:t>
      </w:r>
    </w:p>
    <w:p>
      <w:pPr>
        <w:pStyle w:val="Heading2"/>
      </w:pPr>
      <w:r>
        <w:t>4.5 The defect this validation found</w:t>
      </w:r>
    </w:p>
    <w:p>
      <w:r>
        <w:t>The first confirmation-bias detector achieved 14 % sensitivity, missing 6 of 7 biased transcripts.</w:t>
      </w:r>
    </w:p>
    <w:p>
      <w:r>
        <w:rPr>
          <w:b/>
        </w:rPr>
        <w:t>Cause:</w:t>
      </w:r>
      <w:r>
        <w:t xml:space="preserve"> contradictory clues were stored as free-text sentences that shared vocabulary with the anchor keywords. A learner asking </w:t>
      </w:r>
      <w:r>
        <w:rPr>
          <w:i/>
        </w:rPr>
        <w:t>"any family history of heart problems?"</w:t>
      </w:r>
      <w:r>
        <w:t xml:space="preserve"> matched the clue </w:t>
      </w:r>
      <w:r>
        <w:rPr>
          <w:i/>
        </w:rPr>
        <w:t>"father diabetes no family cardiac heart history"</w:t>
      </w:r>
      <w:r>
        <w:t>, so the system counted them as having explored disconfirming evidence when they had not.</w:t>
      </w:r>
    </w:p>
    <w:p>
      <w:r>
        <w:rPr>
          <w:b/>
        </w:rPr>
        <w:t>Fix:</w:t>
      </w:r>
      <w:r>
        <w:t xml:space="preserve"> clues rewritten as curated keyword sets disjoint from the anchor vocabulary. Sensitivity 14 % → 100 %, no regression elsewhere.</w:t>
      </w:r>
    </w:p>
    <w:p>
      <w:r>
        <w:rPr>
          <w:b/>
        </w:rPr>
        <w:t>Structural prevention:</w:t>
      </w:r>
      <w:r>
        <w:t xml:space="preserve"> invariant C-4 (</w:t>
      </w:r>
      <w:r>
        <w:rPr>
          <w:rFonts w:ascii="Consolas" w:hAnsi="Consolas"/>
          <w:sz w:val="19"/>
        </w:rPr>
        <w:t>DATA_MODEL</w:t>
      </w:r>
      <w:r>
        <w:t xml:space="preserve"> §8.1) is now checked in CI (</w:t>
      </w:r>
      <w:r>
        <w:rPr>
          <w:rFonts w:ascii="Consolas" w:hAnsi="Consolas"/>
          <w:sz w:val="19"/>
        </w:rPr>
        <w:t>BUILD_PLAN</w:t>
      </w:r>
      <w:r>
        <w:t xml:space="preserve"> T-003) and blocks saving in the case editor (T-021). The class of bug is made impossible rather than merely fixed.</w:t>
      </w:r>
    </w:p>
    <w:p/>
    <w:p>
      <w:pPr>
        <w:pStyle w:val="Heading1"/>
      </w:pPr>
      <w:r>
        <w:t>5. LLM gateway</w:t>
      </w:r>
    </w:p>
    <w:p>
      <w:pPr>
        <w:pStyle w:val="Heading2"/>
      </w:pPr>
      <w:r>
        <w:t>5.1 Responsibilities</w:t>
      </w:r>
    </w:p>
    <w:p>
      <w:r>
        <w:t>Single module owning every model call (</w:t>
      </w:r>
      <w:r>
        <w:rPr>
          <w:rFonts w:ascii="Consolas" w:hAnsi="Consolas"/>
          <w:sz w:val="19"/>
        </w:rPr>
        <w:t>ADR-0011</w:t>
      </w:r>
      <w:r>
        <w:t>).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def complete(*, messages, system, max_tokens, temperature,</w:t>
        <w:br/>
        <w:t xml:space="preserve">             purpose: Literal["patient","feedback","extraction","judge","grounding"],</w:t>
        <w:br/>
        <w:t xml:space="preserve">             session_id: UUID | None) -&gt; LLMResult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Per-purpose routing</w:t>
            </w:r>
          </w:p>
        </w:tc>
        <w:tc>
          <w:tcPr>
            <w:tcW w:type="dxa" w:w="4320"/>
          </w:tcPr>
          <w:p>
            <w:r>
              <w:t>Cheap/fast for the high-volume patient turn; stronger model for once-per-session feedback; different models for Factory extraction and judging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Retry</w:t>
            </w:r>
          </w:p>
        </w:tc>
        <w:tc>
          <w:tcPr>
            <w:tcW w:type="dxa" w:w="4320"/>
          </w:tcPr>
          <w:p>
            <w:r>
              <w:t>Exponential backoff with jitter on 429/5xx/empty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Circuit breaker</w:t>
            </w:r>
          </w:p>
        </w:tc>
        <w:tc>
          <w:tcPr>
            <w:tcW w:type="dxa" w:w="4320"/>
          </w:tcPr>
          <w:p>
            <w:r>
              <w:t>After N consecutive failures, stop calling for a cool-down and serve the fallback. Prevents a provider outage making every request hang before failing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Cost accounting</w:t>
            </w:r>
          </w:p>
        </w:tc>
        <w:tc>
          <w:tcPr>
            <w:tcW w:type="dxa" w:w="4320"/>
          </w:tcPr>
          <w:p>
            <w:r>
              <w:t xml:space="preserve">Every call writes </w:t>
            </w:r>
            <w:r>
              <w:rPr>
                <w:rFonts w:ascii="Consolas" w:hAnsi="Consolas"/>
                <w:sz w:val="19"/>
              </w:rPr>
              <w:t>llm_calls</w:t>
            </w:r>
            <w:r>
              <w:t xml:space="preserve"> — tokens, cost, latency, status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Prompt versioning</w:t>
            </w:r>
          </w:p>
        </w:tc>
        <w:tc>
          <w:tcPr>
            <w:tcW w:type="dxa" w:w="4320"/>
          </w:tcPr>
          <w:p>
            <w:r>
              <w:t>Personas are behaviourally significant; version recorded on every session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Fallback</w:t>
            </w:r>
          </w:p>
        </w:tc>
        <w:tc>
          <w:tcPr>
            <w:tcW w:type="dxa" w:w="4320"/>
          </w:tcPr>
          <w:p>
            <w:r>
              <w:t>Rule-based feedback when the model is unavailable, so no consultation ends without guidance</w:t>
            </w:r>
          </w:p>
        </w:tc>
      </w:tr>
    </w:tbl>
    <w:p>
      <w:r>
        <w:rPr>
          <w:b/>
        </w:rPr>
        <w:t>Prompt and response bodies are never stored</w:t>
      </w:r>
      <w:r>
        <w:t xml:space="preserve"> — only metadata. Storing them would duplicate learner text into a second location for no analytical gain.</w:t>
      </w:r>
    </w:p>
    <w:p>
      <w:pPr>
        <w:pStyle w:val="Heading2"/>
      </w:pPr>
      <w:r>
        <w:t>5.2 Model selection</w:t>
      </w:r>
    </w:p>
    <w:p>
      <w:r>
        <w:t xml:space="preserve">Determinism note: the patient runs at temperature 0.7 and is </w:t>
      </w:r>
      <w:r>
        <w:rPr>
          <w:b/>
        </w:rPr>
        <w:t>not</w:t>
      </w:r>
      <w:r>
        <w:t xml:space="preserve"> deterministic. The </w:t>
      </w:r>
      <w:r>
        <w:rPr>
          <w:b/>
        </w:rPr>
        <w:t>marking</w:t>
      </w:r>
      <w:r>
        <w:t xml:space="preserve"> is (PR-1). Conflating these is the most common misunderstanding of the architecture.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Current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Selection criterion</w:t>
            </w:r>
          </w:p>
        </w:tc>
      </w:tr>
      <w:tr>
        <w:tc>
          <w:tcPr>
            <w:tcW w:type="dxa" w:w="2160"/>
          </w:tcPr>
          <w:p>
            <w:r>
              <w:t>Patient</w:t>
            </w:r>
          </w:p>
        </w:tc>
        <w:tc>
          <w:tcPr>
            <w:tcW w:type="dxa" w:w="2160"/>
          </w:tcPr>
          <w:p>
            <w:r>
              <w:t>Fast, cheap, disciplined about withholding</w:t>
            </w:r>
          </w:p>
        </w:tc>
        <w:tc>
          <w:tcPr>
            <w:tcW w:type="dxa" w:w="2160"/>
          </w:tcPr>
          <w:p>
            <w:r>
              <w:t>Llama 3.3 70B via Groq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Leakage rate first</w:t>
            </w:r>
            <w:r>
              <w:t>, then cost, then latency</w:t>
            </w:r>
          </w:p>
        </w:tc>
      </w:tr>
      <w:tr>
        <w:tc>
          <w:tcPr>
            <w:tcW w:type="dxa" w:w="2160"/>
          </w:tcPr>
          <w:p>
            <w:r>
              <w:t>Feedback</w:t>
            </w:r>
          </w:p>
        </w:tc>
        <w:tc>
          <w:tcPr>
            <w:tcW w:type="dxa" w:w="2160"/>
          </w:tcPr>
          <w:p>
            <w:r>
              <w:t>Pedagogical quality, obeys constraints</w:t>
            </w:r>
          </w:p>
        </w:tc>
        <w:tc>
          <w:tcPr>
            <w:tcW w:type="dxa" w:w="2160"/>
          </w:tcPr>
          <w:p>
            <w:r>
              <w:t>Same</w:t>
            </w:r>
          </w:p>
        </w:tc>
        <w:tc>
          <w:tcPr>
            <w:tcW w:type="dxa" w:w="2160"/>
          </w:tcPr>
          <w:p>
            <w:r>
              <w:t>Upgrade to a stronger model before launch</w:t>
            </w:r>
          </w:p>
        </w:tc>
      </w:tr>
      <w:tr>
        <w:tc>
          <w:tcPr>
            <w:tcW w:type="dxa" w:w="2160"/>
          </w:tcPr>
          <w:p>
            <w:r>
              <w:t>Extraction</w:t>
            </w:r>
          </w:p>
        </w:tc>
        <w:tc>
          <w:tcPr>
            <w:tcW w:type="dxa" w:w="2160"/>
          </w:tcPr>
          <w:p>
            <w:r>
              <w:t>Strict schema adherence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Phase 7</w:t>
            </w:r>
          </w:p>
        </w:tc>
      </w:tr>
      <w:tr>
        <w:tc>
          <w:tcPr>
            <w:tcW w:type="dxa" w:w="2160"/>
          </w:tcPr>
          <w:p>
            <w:r>
              <w:t>Judge</w:t>
            </w:r>
          </w:p>
        </w:tc>
        <w:tc>
          <w:tcPr>
            <w:tcW w:type="dxa" w:w="2160"/>
          </w:tcPr>
          <w:p>
            <w:r>
              <w:t>Holistic clinical plausibility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Must differ from extraction</w:t>
            </w:r>
            <w:r>
              <w:t xml:space="preserve"> — correlated errors otherwise</w:t>
            </w:r>
          </w:p>
        </w:tc>
      </w:tr>
      <w:tr>
        <w:tc>
          <w:tcPr>
            <w:tcW w:type="dxa" w:w="2160"/>
          </w:tcPr>
          <w:p>
            <w:r>
              <w:t>Grounding</w:t>
            </w:r>
          </w:p>
        </w:tc>
        <w:tc>
          <w:tcPr>
            <w:tcW w:type="dxa" w:w="2160"/>
          </w:tcPr>
          <w:p>
            <w:r>
              <w:t>Textual entailment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NLI model, not an LLM (</w:t>
            </w:r>
            <w:r>
              <w:rPr>
                <w:rFonts w:ascii="Consolas" w:hAnsi="Consolas"/>
                <w:sz w:val="19"/>
              </w:rPr>
              <w:t>ADR-0012</w:t>
            </w:r>
            <w:r>
              <w:t>)</w:t>
            </w:r>
          </w:p>
        </w:tc>
      </w:tr>
    </w:tbl>
    <w:p>
      <w:r>
        <w:rPr>
          <w:b/>
        </w:rPr>
        <w:t>Pre-launch action:</w:t>
      </w:r>
      <w:r>
        <w:t xml:space="preserve"> run a persona-discipline bake-off across candidate models using the adversarial extraction prompts, and select on measured leakage rate.</w:t>
      </w:r>
    </w:p>
    <w:p>
      <w:pPr>
        <w:pStyle w:val="Heading2"/>
      </w:pPr>
      <w:r>
        <w:t>5.3 Persona integrity — the largest residual risk</w:t>
      </w:r>
    </w:p>
    <w:p>
      <w:r>
        <w:t xml:space="preserve">The patient's </w:t>
      </w:r>
      <w:r>
        <w:rPr>
          <w:i/>
        </w:rPr>
        <w:t>"only reveal when directly asked"</w:t>
      </w:r>
      <w:r>
        <w:t xml:space="preserve"> rule is prompt engineering, which is soft. If the model volunteers information, coverage measures the model rather than the learner, and the measurement is invalid.</w:t>
      </w:r>
    </w:p>
    <w:p>
      <w:r>
        <w:rPr>
          <w:b/>
        </w:rPr>
        <w:t>Three defences:</w:t>
      </w:r>
    </w:p>
    <w:p>
      <w:pPr>
        <w:pStyle w:val="ListNumber"/>
      </w:pPr>
      <w:r>
        <w:rPr>
          <w:b/>
        </w:rPr>
        <w:t>Runtime detection.</w:t>
      </w:r>
      <w:r>
        <w:t xml:space="preserve"> After each reply, check whether it revealed a required topic the question did not ask about. Flag to an admin queue; confirmed leaks are excluded from research export.</w:t>
      </w:r>
    </w:p>
    <w:p>
      <w:pPr>
        <w:pStyle w:val="ListNumber"/>
      </w:pPr>
      <w:r>
        <w:rPr>
          <w:b/>
        </w:rPr>
        <w:t>Adversarial CI.</w:t>
      </w:r>
      <w:r>
        <w:t xml:space="preserve"> A fixed set of extraction attempts run against every case persona; a case whose persona leaks a key fact fails the build.</w:t>
      </w:r>
    </w:p>
    <w:p>
      <w:pPr>
        <w:pStyle w:val="ListNumber"/>
      </w:pPr>
      <w:r>
        <w:rPr>
          <w:b/>
        </w:rPr>
        <w:t>Disclosure.</w:t>
      </w:r>
      <w:r>
        <w:t xml:space="preserve"> Leakage rate reported as a limitation in any publication.</w:t>
      </w:r>
    </w:p>
    <w:p>
      <w:r>
        <w:rPr>
          <w:b/>
        </w:rPr>
        <w:t>This is the most under-addressed risk in the project</w:t>
      </w:r>
      <w:r>
        <w:t xml:space="preserve"> and is </w:t>
      </w:r>
      <w:r>
        <w:rPr>
          <w:rFonts w:ascii="Consolas" w:hAnsi="Consolas"/>
          <w:sz w:val="19"/>
        </w:rPr>
        <w:t>BUILD_PLAN</w:t>
      </w:r>
      <w:r>
        <w:t xml:space="preserve"> T-040.</w:t>
      </w:r>
    </w:p>
    <w:p/>
    <w:p>
      <w:pPr>
        <w:pStyle w:val="Heading1"/>
      </w:pPr>
      <w:r>
        <w:t>6. Admin console</w:t>
      </w:r>
    </w:p>
    <w:p>
      <w:r>
        <w:t xml:space="preserve">Full screen specification in </w:t>
      </w:r>
      <w:r>
        <w:rPr>
          <w:rFonts w:ascii="Consolas" w:hAnsi="Consolas"/>
          <w:sz w:val="19"/>
        </w:rPr>
        <w:t>UX_SPEC</w:t>
      </w:r>
      <w:r>
        <w:t xml:space="preserve"> §12. Architecture notes only here.</w:t>
      </w:r>
    </w:p>
    <w:p>
      <w:pPr>
        <w:pStyle w:val="Heading2"/>
      </w:pPr>
      <w:r>
        <w:t>6.1 Why it matters more than it sounds</w:t>
      </w:r>
    </w:p>
    <w:p>
      <w:r>
        <w:t xml:space="preserve">Clinical content lives in 2 421 lines of Python, and that is still where the application reads it from. T-011 copied the five cases into </w:t>
      </w:r>
      <w:r>
        <w:rPr>
          <w:rFonts w:ascii="Consolas" w:hAnsi="Consolas"/>
          <w:sz w:val="19"/>
        </w:rPr>
        <w:t>cases</w:t>
      </w:r>
      <w:r>
        <w:t xml:space="preserve"> / </w:t>
      </w:r>
      <w:r>
        <w:rPr>
          <w:rFonts w:ascii="Consolas" w:hAnsi="Consolas"/>
          <w:sz w:val="19"/>
        </w:rPr>
        <w:t>case_versions</w:t>
      </w:r>
      <w:r>
        <w:t xml:space="preserve"> as version 1, </w:t>
      </w:r>
      <w:r>
        <w:rPr>
          <w:b/>
        </w:rPr>
        <w:t>status draft</w:t>
      </w:r>
      <w:r>
        <w:t xml:space="preserve"> — so the content is now in a table a case editor can reach, but nothing edits it and nothing reads it at runtime.</w:t>
      </w:r>
    </w:p>
    <w:p>
      <w:r>
        <w:t>The consequence is unchanged until the editor exists: only a programmer can change a case, clinicians cannot review without reading code, every content fix is a deploy, and a keyword typo is a production incident.</w:t>
      </w:r>
    </w:p>
    <w:p>
      <w:r>
        <w:t>It is also now a hard block rather than an inconvenience. The seeded versions are drafts on purpose (</w:t>
      </w:r>
      <w:r>
        <w:rPr>
          <w:rFonts w:ascii="Consolas" w:hAnsi="Consolas"/>
          <w:sz w:val="19"/>
        </w:rPr>
        <w:t>DATA_MODEL</w:t>
      </w:r>
      <w:r>
        <w:t xml:space="preserve"> §9.2), the publication gate refuses to publish without an approving clinical review, and case selection (T-017) filters on </w:t>
      </w:r>
      <w:r>
        <w:rPr>
          <w:rFonts w:ascii="Consolas" w:hAnsi="Consolas"/>
          <w:sz w:val="19"/>
        </w:rPr>
        <w:t>status = 'published'</w:t>
      </w:r>
      <w:r>
        <w:t xml:space="preserve"> — so </w:t>
      </w:r>
      <w:r>
        <w:rPr>
          <w:b/>
        </w:rPr>
        <w:t>selection correctly finds nothing until T-023 exists</w:t>
      </w:r>
      <w:r>
        <w:t>. Four tasks have hit that wall.</w:t>
      </w:r>
    </w:p>
    <w:p>
      <w:r>
        <w:rPr>
          <w:b/>
        </w:rPr>
        <w:t>A content platform separates content from code.</w:t>
      </w:r>
      <w:r>
        <w:t xml:space="preserve"> The admin console is how clinical content gets managed by the people qualified to manage it.</w:t>
      </w:r>
    </w:p>
    <w:p>
      <w:pPr>
        <w:pStyle w:val="Heading2"/>
      </w:pPr>
      <w:r>
        <w:t>6.2 Architecture</w:t>
      </w:r>
    </w:p>
    <w:p>
      <w:r>
        <w:t>Jinja + HTMX (</w:t>
      </w:r>
      <w:r>
        <w:rPr>
          <w:rFonts w:ascii="Consolas" w:hAnsi="Consolas"/>
          <w:sz w:val="19"/>
        </w:rPr>
        <w:t>ADR-0006</w:t>
      </w:r>
      <w:r>
        <w:t xml:space="preserve">), served by the same Flask application, admin-authenticated, desktop-only. Deliberately </w:t>
      </w:r>
      <w:r>
        <w:rPr>
          <w:i/>
        </w:rPr>
        <w:t>not</w:t>
      </w:r>
      <w:r>
        <w:t xml:space="preserve"> Next.js: it is internal, form-heavy, low-traffic, and building it in the existing stack means it does not block API work.</w:t>
      </w:r>
    </w:p>
    <w:p>
      <w:pPr>
        <w:pStyle w:val="Heading2"/>
      </w:pPr>
      <w:r>
        <w:t>6.3 The two screens that carry the value</w:t>
      </w:r>
    </w:p>
    <w:p>
      <w:r>
        <w:rPr>
          <w:b/>
        </w:rPr>
        <w:t>Case editor</w:t>
      </w:r>
      <w:r>
        <w:t xml:space="preserve"> — structured form with live invariant validation. C-4 (anchor/clue disjointness) </w:t>
      </w:r>
      <w:r>
        <w:rPr>
          <w:b/>
        </w:rPr>
        <w:t>blocks save</w:t>
      </w:r>
      <w:r>
        <w:t>, naming the conflicting terms. Editing a published version creates a new draft; published content is immutable (</w:t>
      </w:r>
      <w:r>
        <w:rPr>
          <w:rFonts w:ascii="Consolas" w:hAnsi="Consolas"/>
          <w:sz w:val="19"/>
        </w:rPr>
        <w:t>ADR-0010</w:t>
      </w:r>
      <w:r>
        <w:t>).</w:t>
      </w:r>
    </w:p>
    <w:p>
      <w:r>
        <w:rPr>
          <w:b/>
        </w:rPr>
        <w:t>Playtest</w:t>
      </w:r>
      <w:r>
        <w:t xml:space="preserve"> — split view with the student UI on one side and live instrumentation on the other: matched topics per question, running counters, detector state, clues explored, leakage warnings. This is how a non-programmer sees </w:t>
      </w:r>
      <w:r>
        <w:rPr>
          <w:i/>
        </w:rPr>
        <w:t>why</w:t>
      </w:r>
      <w:r>
        <w:t xml:space="preserve"> a detector fired, and it is what makes clinical review possible.</w:t>
      </w:r>
    </w:p>
    <w:p>
      <w:pPr>
        <w:pStyle w:val="Heading2"/>
      </w:pPr>
      <w:r>
        <w:t>6.4 Threshold impact preview</w:t>
      </w:r>
    </w:p>
    <w:p>
      <w:r>
        <w:t>Changing a threshold silently changes what every future result means. The console shows the consequence before applying: how many historical sessions would newly flag, and what the validation suite reports under the candidate values.</w:t>
      </w:r>
    </w:p>
    <w:p>
      <w:r>
        <w:t>Only possible because of PR-3 — sessions can be replayed. This is the mechanism that closes the "thresholds not empirically tuned" limitation.</w:t>
      </w:r>
    </w:p>
    <w:p>
      <w:pPr>
        <w:pStyle w:val="Heading2"/>
      </w:pPr>
      <w:r>
        <w:t>6.5 Build strategy</w:t>
      </w:r>
    </w:p>
    <w:p>
      <w:r>
        <w:t xml:space="preserve">Custom for product-specific tools (editor, Playtest, AI ops). </w:t>
      </w:r>
      <w:r>
        <w:rPr>
          <w:b/>
        </w:rPr>
        <w:t>Metabase for analytics</w:t>
      </w:r>
      <w:r>
        <w:t xml:space="preserve"> — connects directly to Postgres, saves roughly 8 days of building dashboard screens. Buy the generic, build the specific.</w:t>
      </w:r>
    </w:p>
    <w:p/>
    <w:p>
      <w:pPr>
        <w:pStyle w:val="Heading1"/>
      </w:pPr>
      <w:r>
        <w:t>7. Case Factory</w:t>
      </w:r>
    </w:p>
    <w:p>
      <w:r>
        <w:t>Deferred to Phase 7. Designed now so the schema and vocabulary accommodate it (</w:t>
      </w:r>
      <w:r>
        <w:rPr>
          <w:rFonts w:ascii="Consolas" w:hAnsi="Consolas"/>
          <w:sz w:val="19"/>
        </w:rPr>
        <w:t>DATA_MODEL</w:t>
      </w:r>
      <w:r>
        <w:t xml:space="preserve"> §12).</w:t>
      </w:r>
    </w:p>
    <w:p>
      <w:pPr>
        <w:pStyle w:val="Heading2"/>
      </w:pPr>
      <w:r>
        <w:t>7.1 Principle</w:t>
      </w:r>
    </w:p>
    <w:p>
      <w:r>
        <w:rPr>
          <w:b/>
        </w:rPr>
        <w:t>A generated case is guilty until proven innocent.</w:t>
      </w:r>
      <w:r>
        <w:t xml:space="preserve"> It reaches a learner only after passing every gate. The pipeline optimises for precision: rejecting 90 % of candidates is acceptable; publishing one clinically wrong case is not.</w:t>
      </w:r>
    </w:p>
    <w:p>
      <w:pPr>
        <w:pStyle w:val="Heading2"/>
      </w:pPr>
      <w:r>
        <w:t>7.2 Pipeline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 xml:space="preserve"> 1 Source connector       dataset → normalised record</w:t>
        <w:br/>
        <w:t xml:space="preserve"> 2 Candidate filter       rules + embedding dedup          — no LLM</w:t>
        <w:br/>
        <w:t xml:space="preserve"> 3 Extraction             schema-forced generation         — LLM</w:t>
        <w:br/>
        <w:t xml:space="preserve"> 4 Vocabulary mapping     fuzzy + embeddings, quarantine   — mostly no LLM</w:t>
        <w:br/>
        <w:t xml:space="preserve"> 5 Grounding check        NLI entailment                   — ADR-0012</w:t>
        <w:br/>
        <w:t xml:space="preserve"> 6 Quality judge          different model from step 3      — ADR-0011</w:t>
        <w:br/>
        <w:t xml:space="preserve"> 7 Trap self-test         our own detectors                — NO AI</w:t>
        <w:br/>
        <w:t xml:space="preserve"> 8 Case bank              status = candidate</w:t>
        <w:br/>
        <w:t xml:space="preserve"> 9 Clinical review        human sign-off                   — PRD FR-12.5</w:t>
        <w:br/>
        <w:t>10 Governed publish       policy-gated</w:t>
      </w:r>
    </w:p>
    <w:p>
      <w:r>
        <w:rPr>
          <w:b/>
        </w:rPr>
        <w:t>Step 7 is the novel contribution.</w:t>
      </w:r>
      <w:r>
        <w:t xml:space="preserve"> Every generated case is unit-tested against the same detectors that grade learners: synthetic tunnel-vision, thorough, and rushed transcripts must produce the expected flag pattern. A case whose trap is not detectable is rejected regardless of clinical quality.</w:t>
      </w:r>
    </w:p>
    <w:p>
      <w:r>
        <w:rPr>
          <w:b/>
        </w:rPr>
        <w:t>Roughly half the pipeline requires no LLM.</w:t>
      </w:r>
      <w:r>
        <w:t xml:space="preserve"> Deduplication and vocabulary mapping use embeddings; grounding uses an NLI model; the trap self-test uses plain code. An all-LLM pipeline is the mark of a prototype.</w:t>
      </w:r>
    </w:p>
    <w:p>
      <w:pPr>
        <w:pStyle w:val="Heading2"/>
      </w:pPr>
      <w:r>
        <w:t>7.3 Blocking constraint</w:t>
      </w:r>
    </w:p>
    <w:p>
      <w:r>
        <w:rPr>
          <w:b/>
        </w:rPr>
        <w:t>Dataset licences must be verified for commercial use before any Factory code is written</w:t>
      </w:r>
      <w:r>
        <w:t xml:space="preserve"> (</w:t>
      </w:r>
      <w:r>
        <w:rPr>
          <w:rFonts w:ascii="Consolas" w:hAnsi="Consolas"/>
          <w:sz w:val="19"/>
        </w:rPr>
        <w:t>PLATFORM_SPEC</w:t>
      </w:r>
      <w:r>
        <w:t xml:space="preserve"> §9.1). Several public medical corpora are non-commercial or prohibit redistribution. The Factory must refuse to publish from a source not marked commercial-safe.</w:t>
      </w:r>
    </w:p>
    <w:p/>
    <w:p>
      <w:pPr>
        <w:pStyle w:val="Heading1"/>
      </w:pPr>
      <w:r>
        <w:t>8. Frontend and mobile</w:t>
      </w:r>
    </w:p>
    <w:p>
      <w:r>
        <w:rPr>
          <w:rFonts w:ascii="Consolas" w:hAnsi="Consolas"/>
          <w:sz w:val="19"/>
        </w:rPr>
        <w:t>ADR-0006</w:t>
      </w:r>
      <w:r>
        <w:t>. Split by audience because the surfaces have genuinely different constraints.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Surface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t>Consumer web</w:t>
            </w:r>
          </w:p>
        </w:tc>
        <w:tc>
          <w:tcPr>
            <w:tcW w:type="dxa" w:w="2880"/>
          </w:tcPr>
          <w:p>
            <w:r>
              <w:t>Next.js + TypeScript</w:t>
            </w:r>
          </w:p>
        </w:tc>
        <w:tc>
          <w:tcPr>
            <w:tcW w:type="dxa" w:w="2880"/>
          </w:tcPr>
          <w:p>
            <w:r>
              <w:t>Shares patterns and API client with mobile</w:t>
            </w:r>
          </w:p>
        </w:tc>
      </w:tr>
      <w:tr>
        <w:tc>
          <w:tcPr>
            <w:tcW w:type="dxa" w:w="2880"/>
          </w:tcPr>
          <w:p>
            <w:r>
              <w:t>Mobile</w:t>
            </w:r>
          </w:p>
        </w:tc>
        <w:tc>
          <w:tcPr>
            <w:tcW w:type="dxa" w:w="2880"/>
          </w:tcPr>
          <w:p>
            <w:r>
              <w:t>React Native + Expo</w:t>
            </w:r>
          </w:p>
        </w:tc>
        <w:tc>
          <w:tcPr>
            <w:tcW w:type="dxa" w:w="2880"/>
          </w:tcPr>
          <w:p>
            <w:r>
              <w:t>Reuses React model; one codebase → iOS + Android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Jinja + HTMX</w:t>
            </w:r>
          </w:p>
        </w:tc>
        <w:tc>
          <w:tcPr>
            <w:tcW w:type="dxa" w:w="2880"/>
          </w:tcPr>
          <w:p>
            <w:r>
              <w:t>Internal, form-heavy; does not block API work</w:t>
            </w:r>
          </w:p>
        </w:tc>
      </w:tr>
      <w:tr>
        <w:tc>
          <w:tcPr>
            <w:tcW w:type="dxa" w:w="2880"/>
          </w:tcPr>
          <w:p>
            <w:r>
              <w:t>Analytics</w:t>
            </w:r>
          </w:p>
        </w:tc>
        <w:tc>
          <w:tcPr>
            <w:tcW w:type="dxa" w:w="2880"/>
          </w:tcPr>
          <w:p>
            <w:r>
              <w:t>Metabase</w:t>
            </w:r>
          </w:p>
        </w:tc>
        <w:tc>
          <w:tcPr>
            <w:tcW w:type="dxa" w:w="2880"/>
          </w:tcPr>
          <w:p>
            <w:r>
              <w:t>Buy, don't build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Flask + typed schemas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ADR-0007</w:t>
            </w:r>
            <w:r>
              <w:t xml:space="preserve"> — no migration benefit</w:t>
            </w:r>
          </w:p>
        </w:tc>
      </w:tr>
    </w:tbl>
    <w:p>
      <w:r>
        <w:rPr>
          <w:b/>
        </w:rPr>
        <w:t>Types are generated from `openapi.yaml`</w:t>
      </w:r>
      <w:r>
        <w:t xml:space="preserve"> and shared between web and mobile. A backend field rename becomes a build-time error rather than a runtime </w:t>
      </w:r>
      <w:r>
        <w:rPr>
          <w:rFonts w:ascii="Consolas" w:hAnsi="Consolas"/>
          <w:sz w:val="19"/>
        </w:rPr>
        <w:t>undefined</w:t>
      </w:r>
      <w:r>
        <w:t>.</w:t>
      </w:r>
    </w:p>
    <w:p>
      <w:pPr>
        <w:pStyle w:val="Heading2"/>
      </w:pPr>
      <w:r>
        <w:t>8.1 The UX constraints that are architectural</w:t>
      </w:r>
    </w:p>
    <w:p>
      <w:r>
        <w:t xml:space="preserve">Three requirements in </w:t>
      </w:r>
      <w:r>
        <w:rPr>
          <w:rFonts w:ascii="Consolas" w:hAnsi="Consolas"/>
          <w:sz w:val="19"/>
        </w:rPr>
        <w:t>UX_SPEC</w:t>
      </w:r>
      <w:r>
        <w:t xml:space="preserve"> are not styling preferences — they protect the measurement and must survive any redesign: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Constraint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4320"/>
          </w:tcPr>
          <w:p>
            <w:r>
              <w:t>No coverage meter, question counter, or hints during a consultation</w:t>
            </w:r>
          </w:p>
        </w:tc>
        <w:tc>
          <w:tcPr>
            <w:tcW w:type="dxa" w:w="4320"/>
          </w:tcPr>
          <w:p>
            <w:r>
              <w:t>Showing the metric teaches the metric</w:t>
            </w:r>
          </w:p>
        </w:tc>
      </w:tr>
      <w:tr>
        <w:tc>
          <w:tcPr>
            <w:tcW w:type="dxa" w:w="4320"/>
          </w:tcPr>
          <w:p>
            <w:r>
              <w:t>Investigation search filters by name only, never ranked by relevance</w:t>
            </w:r>
          </w:p>
        </w:tc>
        <w:tc>
          <w:tcPr>
            <w:tcW w:type="dxa" w:w="4320"/>
          </w:tcPr>
          <w:p>
            <w:r>
              <w:t>Ranking would leak which tests matter</w:t>
            </w:r>
          </w:p>
        </w:tc>
      </w:tr>
      <w:tr>
        <w:tc>
          <w:tcPr>
            <w:tcW w:type="dxa" w:w="4320"/>
          </w:tcPr>
          <w:p>
            <w:r>
              <w:t>The diagnosis dialog contains no readiness or completeness hint</w:t>
            </w:r>
          </w:p>
        </w:tc>
        <w:tc>
          <w:tcPr>
            <w:tcW w:type="dxa" w:w="4320"/>
          </w:tcPr>
          <w:p>
            <w:r>
              <w:t>It would itself be an anti-premature-closure intervention</w:t>
            </w:r>
          </w:p>
        </w:tc>
      </w:tr>
    </w:tbl>
    <w:p>
      <w:r>
        <w:t>Enforced by contract tests CT-1, CT-2, CT-3 (</w:t>
      </w:r>
      <w:r>
        <w:rPr>
          <w:rFonts w:ascii="Consolas" w:hAnsi="Consolas"/>
          <w:sz w:val="19"/>
        </w:rPr>
        <w:t>API_CONTRACT</w:t>
      </w:r>
      <w:r>
        <w:t xml:space="preserve"> §11).</w:t>
      </w:r>
    </w:p>
    <w:p/>
    <w:p>
      <w:pPr>
        <w:pStyle w:val="Heading1"/>
      </w:pPr>
      <w:r>
        <w:t>9. Deployment</w:t>
      </w:r>
    </w:p>
    <w:p>
      <w:pPr>
        <w:pStyle w:val="Heading2"/>
      </w:pPr>
      <w:r>
        <w:t>9.1 Packaging</w:t>
      </w:r>
    </w:p>
    <w:p>
      <w:r>
        <w:t>Multi-stage Docker (</w:t>
      </w:r>
      <w:r>
        <w:rPr>
          <w:rFonts w:ascii="Consolas" w:hAnsi="Consolas"/>
          <w:sz w:val="19"/>
        </w:rPr>
        <w:t>ADR-0008</w:t>
      </w:r>
      <w:r>
        <w:t>). The embedding model is baked into the image so the first request does not pay a download. Gunicorn with 2 workers × 4 threads — LLM calls are I/O-bound, and multiple workers are only safe because session state left process memory (</w:t>
      </w:r>
      <w:r>
        <w:rPr>
          <w:rFonts w:ascii="Consolas" w:hAnsi="Consolas"/>
          <w:sz w:val="19"/>
        </w:rPr>
        <w:t>ADR-0003</w:t>
      </w:r>
      <w:r>
        <w:t>).</w:t>
      </w:r>
    </w:p>
    <w:p>
      <w:pPr>
        <w:pStyle w:val="Heading2"/>
      </w:pPr>
      <w:r>
        <w:t>9.2 Platform</w:t>
      </w:r>
    </w:p>
    <w:p>
      <w:r>
        <w:t>Render or Railway as a Docker web service; Supabase for Postgres, auth and storage. Not Vercel — its serverless model conflicts with a persistent Python service making multi-second LLM calls (</w:t>
      </w:r>
      <w:r>
        <w:rPr>
          <w:rFonts w:ascii="Consolas" w:hAnsi="Consolas"/>
          <w:sz w:val="19"/>
        </w:rPr>
        <w:t>ADR-0008</w:t>
      </w:r>
      <w:r>
        <w:t>).</w:t>
      </w:r>
    </w:p>
    <w:p>
      <w:r>
        <w:t>Not AWS/GCP/Azure yet. Move when the PaaS bill passes roughly $500/month or a structural need appears. Containerisation keeps that migration cheap.</w:t>
      </w:r>
    </w:p>
    <w:p>
      <w:pPr>
        <w:pStyle w:val="Heading2"/>
      </w:pPr>
      <w:r>
        <w:t>9.3 Environments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type="dxa" w:w="4320"/>
          </w:tcPr>
          <w:p>
            <w:r>
              <w:t>local</w:t>
            </w:r>
          </w:p>
        </w:tc>
        <w:tc>
          <w:tcPr>
            <w:tcW w:type="dxa" w:w="4320"/>
          </w:tcPr>
          <w:p>
            <w:r>
              <w:t>docker-compose Postgres, seeded</w:t>
            </w:r>
          </w:p>
        </w:tc>
      </w:tr>
      <w:tr>
        <w:tc>
          <w:tcPr>
            <w:tcW w:type="dxa" w:w="4320"/>
          </w:tcPr>
          <w:p>
            <w:r>
              <w:t>preview (per PR)</w:t>
            </w:r>
          </w:p>
        </w:tc>
        <w:tc>
          <w:tcPr>
            <w:tcW w:type="dxa" w:w="4320"/>
          </w:tcPr>
          <w:p>
            <w:r>
              <w:t>branch database, seeded</w:t>
            </w:r>
          </w:p>
        </w:tc>
      </w:tr>
      <w:tr>
        <w:tc>
          <w:tcPr>
            <w:tcW w:type="dxa" w:w="4320"/>
          </w:tcPr>
          <w:p>
            <w:r>
              <w:t>staging</w:t>
            </w:r>
          </w:p>
        </w:tc>
        <w:tc>
          <w:tcPr>
            <w:tcW w:type="dxa" w:w="4320"/>
          </w:tcPr>
          <w:p>
            <w:r>
              <w:t>anonymised copy</w:t>
            </w:r>
          </w:p>
        </w:tc>
      </w:tr>
      <w:tr>
        <w:tc>
          <w:tcPr>
            <w:tcW w:type="dxa" w:w="4320"/>
          </w:tcPr>
          <w:p>
            <w:r>
              <w:t>production</w:t>
            </w:r>
          </w:p>
        </w:tc>
        <w:tc>
          <w:tcPr>
            <w:tcW w:type="dxa" w:w="4320"/>
          </w:tcPr>
          <w:p>
            <w:r>
              <w:t>real</w:t>
            </w:r>
          </w:p>
        </w:tc>
      </w:tr>
    </w:tbl>
    <w:p>
      <w:pPr>
        <w:pStyle w:val="Heading2"/>
      </w:pPr>
      <w:r>
        <w:t>9.4 CI/CD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PR:    lint · typecheck · import-linter · tests · DETECTOR VALIDATION · security · docker build</w:t>
        <w:br/>
        <w:t>main:  the above → push image → staging → smoke → manual approval → production</w:t>
      </w:r>
    </w:p>
    <w:p>
      <w:r>
        <w:rPr>
          <w:b/>
        </w:rPr>
        <w:t>The detector-validation step is unusual and deliberate:</w:t>
      </w:r>
      <w:r>
        <w:t xml:space="preserve"> the build fails if accuracy drops below the published 94 %.</w:t>
      </w:r>
    </w:p>
    <w:p>
      <w:pPr>
        <w:pStyle w:val="Heading2"/>
      </w:pPr>
      <w:r>
        <w:t>9.5 Database operations</w:t>
      </w:r>
    </w:p>
    <w:p>
      <w:r>
        <w:t xml:space="preserve">Alembic migrations run as a release command before new revisions take traffic. Expand-migrate-contract for all schema changes. </w:t>
      </w:r>
      <w:r>
        <w:rPr>
          <w:b/>
        </w:rPr>
        <w:t>Backup restore verified quarterly</w:t>
      </w:r>
      <w:r>
        <w:t xml:space="preserve"> — an unverified backup is not a backup.</w:t>
      </w:r>
    </w:p>
    <w:p/>
    <w:p>
      <w:pPr>
        <w:pStyle w:val="Heading1"/>
      </w:pPr>
      <w:r>
        <w:t>10. Observability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Concern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Approach</w:t>
            </w:r>
          </w:p>
        </w:tc>
      </w:tr>
      <w:tr>
        <w:tc>
          <w:tcPr>
            <w:tcW w:type="dxa" w:w="4320"/>
          </w:tcPr>
          <w:p>
            <w:r>
              <w:t>Logs</w:t>
            </w:r>
          </w:p>
        </w:tc>
        <w:tc>
          <w:tcPr>
            <w:tcW w:type="dxa" w:w="4320"/>
          </w:tcPr>
          <w:p>
            <w:r>
              <w:t xml:space="preserve">Structured JSON to stdout with </w:t>
            </w:r>
            <w:r>
              <w:rPr>
                <w:rFonts w:ascii="Consolas" w:hAnsi="Consolas"/>
                <w:sz w:val="19"/>
              </w:rPr>
              <w:t>request_id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session_id</w:t>
            </w:r>
            <w:r>
              <w:t xml:space="preserve">, pseudonymous </w:t>
            </w:r>
            <w:r>
              <w:rPr>
                <w:rFonts w:ascii="Consolas" w:hAnsi="Consolas"/>
                <w:sz w:val="19"/>
              </w:rPr>
              <w:t>user_id</w:t>
            </w:r>
            <w:r>
              <w:t>. Never raw question text at INFO, never emails or keys</w:t>
            </w:r>
          </w:p>
        </w:tc>
      </w:tr>
      <w:tr>
        <w:tc>
          <w:tcPr>
            <w:tcW w:type="dxa" w:w="4320"/>
          </w:tcPr>
          <w:p>
            <w:r>
              <w:t>Errors</w:t>
            </w:r>
          </w:p>
        </w:tc>
        <w:tc>
          <w:tcPr>
            <w:tcW w:type="dxa" w:w="4320"/>
          </w:tcPr>
          <w:p>
            <w:r>
              <w:t xml:space="preserve">Sentry, </w:t>
            </w:r>
            <w:r>
              <w:rPr>
                <w:rFonts w:ascii="Consolas" w:hAnsi="Consolas"/>
                <w:sz w:val="19"/>
              </w:rPr>
              <w:t>send_default_pii=False</w:t>
            </w:r>
            <w:r>
              <w:t>, releases tagged</w:t>
            </w:r>
          </w:p>
        </w:tc>
      </w:tr>
      <w:tr>
        <w:tc>
          <w:tcPr>
            <w:tcW w:type="dxa" w:w="4320"/>
          </w:tcPr>
          <w:p>
            <w:r>
              <w:t>Health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/healthz</w:t>
            </w:r>
            <w:r>
              <w:t xml:space="preserve"> liveness; </w:t>
            </w:r>
            <w:r>
              <w:rPr>
                <w:rFonts w:ascii="Consolas" w:hAnsi="Consolas"/>
                <w:sz w:val="19"/>
              </w:rPr>
              <w:t>/readyz</w:t>
            </w:r>
            <w:r>
              <w:t xml:space="preserve"> checks database, migrations, model loaded</w:t>
            </w:r>
          </w:p>
        </w:tc>
      </w:tr>
    </w:tbl>
    <w:p>
      <w:pPr>
        <w:pStyle w:val="Heading2"/>
      </w:pPr>
      <w:r>
        <w:t>10.1 Metrics that matter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Alert</w:t>
            </w:r>
          </w:p>
        </w:tc>
      </w:tr>
      <w:tr>
        <w:tc>
          <w:tcPr>
            <w:tcW w:type="dxa" w:w="2880"/>
          </w:tcPr>
          <w:p>
            <w:r>
              <w:t>p95 patient reply latency</w:t>
            </w:r>
          </w:p>
        </w:tc>
        <w:tc>
          <w:tcPr>
            <w:tcW w:type="dxa" w:w="2880"/>
          </w:tcPr>
          <w:p>
            <w:r>
              <w:t>Perceived quality</w:t>
            </w:r>
          </w:p>
        </w:tc>
        <w:tc>
          <w:tcPr>
            <w:tcW w:type="dxa" w:w="2880"/>
          </w:tcPr>
          <w:p>
            <w:r>
              <w:t>&gt; 6 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LLM cost per completed session</w:t>
            </w:r>
          </w:p>
        </w:tc>
        <w:tc>
          <w:tcPr>
            <w:tcW w:type="dxa" w:w="2880"/>
          </w:tcPr>
          <w:p>
            <w:r>
              <w:t>The unit economic</w:t>
            </w:r>
          </w:p>
        </w:tc>
        <w:tc>
          <w:tcPr>
            <w:tcW w:type="dxa" w:w="2880"/>
          </w:tcPr>
          <w:p>
            <w:r>
              <w:t>&gt; $0.05</w:t>
            </w:r>
          </w:p>
        </w:tc>
      </w:tr>
      <w:tr>
        <w:tc>
          <w:tcPr>
            <w:tcW w:type="dxa" w:w="2880"/>
          </w:tcPr>
          <w:p>
            <w:r>
              <w:t>Feedback fallback rate</w:t>
            </w:r>
          </w:p>
        </w:tc>
        <w:tc>
          <w:tcPr>
            <w:tcW w:type="dxa" w:w="2880"/>
          </w:tcPr>
          <w:p>
            <w:r>
              <w:t>Model reliability</w:t>
            </w:r>
          </w:p>
        </w:tc>
        <w:tc>
          <w:tcPr>
            <w:tcW w:type="dxa" w:w="2880"/>
          </w:tcPr>
          <w:p>
            <w:r>
              <w:t>&gt; 5 %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Persona leakage rate</w:t>
            </w:r>
          </w:p>
        </w:tc>
        <w:tc>
          <w:tcPr>
            <w:tcW w:type="dxa" w:w="2880"/>
          </w:tcPr>
          <w:p>
            <w:r>
              <w:t>Measurement validity</w:t>
            </w:r>
          </w:p>
        </w:tc>
        <w:tc>
          <w:tcPr>
            <w:tcW w:type="dxa" w:w="2880"/>
          </w:tcPr>
          <w:p>
            <w:r>
              <w:t>&gt; 2 %</w:t>
            </w:r>
          </w:p>
        </w:tc>
      </w:tr>
      <w:tr>
        <w:tc>
          <w:tcPr>
            <w:tcW w:type="dxa" w:w="2880"/>
          </w:tcPr>
          <w:p>
            <w:r>
              <w:t>Consultation abandonment</w:t>
            </w:r>
          </w:p>
        </w:tc>
        <w:tc>
          <w:tcPr>
            <w:tcW w:type="dxa" w:w="2880"/>
          </w:tcPr>
          <w:p>
            <w:r>
              <w:t>UX and data quality</w:t>
            </w:r>
          </w:p>
        </w:tc>
        <w:tc>
          <w:tcPr>
            <w:tcW w:type="dxa" w:w="2880"/>
          </w:tcPr>
          <w:p>
            <w:r>
              <w:t>&gt; 25 %</w:t>
            </w:r>
          </w:p>
        </w:tc>
      </w:tr>
      <w:tr>
        <w:tc>
          <w:tcPr>
            <w:tcW w:type="dxa" w:w="2880"/>
          </w:tcPr>
          <w:p>
            <w:r>
              <w:t>Assessment duration</w:t>
            </w:r>
          </w:p>
        </w:tc>
        <w:tc>
          <w:tcPr>
            <w:tcW w:type="dxa" w:w="2880"/>
          </w:tcPr>
          <w:p>
            <w:r>
              <w:t>Guards against the embedding upgrade regressing the request path</w:t>
            </w:r>
          </w:p>
        </w:tc>
        <w:tc>
          <w:tcPr>
            <w:tcW w:type="dxa" w:w="2880"/>
          </w:tcPr>
          <w:p>
            <w:r>
              <w:t>p95 &gt; 500 ms</w:t>
            </w:r>
          </w:p>
        </w:tc>
      </w:tr>
    </w:tbl>
    <w:p>
      <w:r>
        <w:t>Alerting is deliberately small: error rate, latency, circuit breaker open, budget exceeded, failed migration. Nothing else pages.</w:t>
      </w:r>
    </w:p>
    <w:p/>
    <w:p>
      <w:pPr>
        <w:pStyle w:val="Heading1"/>
      </w:pPr>
      <w:r>
        <w:t>11. Security and privacy</w:t>
      </w:r>
    </w:p>
    <w:p>
      <w:pPr>
        <w:pStyle w:val="Heading2"/>
      </w:pPr>
      <w:r>
        <w:t>11.1 Position</w:t>
      </w:r>
    </w:p>
    <w:p>
      <w:r>
        <w:t xml:space="preserve">The system holds </w:t>
      </w:r>
      <w:r>
        <w:rPr>
          <w:b/>
        </w:rPr>
        <w:t>educational performance data about identifiable professionals</w:t>
      </w:r>
      <w:r>
        <w:t>. It holds no patient data — every patient is synthetic. That removes the medical-device and PHI regimes but does not make the data insensitive: a record showing someone reasoned unsafely is reputationally sensitive.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Threat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Control</w:t>
            </w:r>
          </w:p>
        </w:tc>
      </w:tr>
      <w:tr>
        <w:tc>
          <w:tcPr>
            <w:tcW w:type="dxa" w:w="4320"/>
          </w:tcPr>
          <w:p>
            <w:r>
              <w:t>Cross-user data access</w:t>
            </w:r>
          </w:p>
        </w:tc>
        <w:tc>
          <w:tcPr>
            <w:tcW w:type="dxa" w:w="4320"/>
          </w:tcPr>
          <w:p>
            <w:r>
              <w:t xml:space="preserve">Row-Level Security keyed on </w:t>
            </w:r>
            <w:r>
              <w:rPr>
                <w:rFonts w:ascii="Consolas" w:hAnsi="Consolas"/>
                <w:sz w:val="19"/>
              </w:rPr>
              <w:t>auth.uid()</w:t>
            </w:r>
            <w:r>
              <w:t>, plus application scoping</w:t>
            </w:r>
          </w:p>
        </w:tc>
      </w:tr>
      <w:tr>
        <w:tc>
          <w:tcPr>
            <w:tcW w:type="dxa" w:w="4320"/>
          </w:tcPr>
          <w:p>
            <w:r>
              <w:t>Enumeration of another user's session</w:t>
            </w:r>
          </w:p>
        </w:tc>
        <w:tc>
          <w:tcPr>
            <w:tcW w:type="dxa" w:w="4320"/>
          </w:tcPr>
          <w:p>
            <w:r>
              <w:t>404 rather than 403 (</w:t>
            </w:r>
            <w:r>
              <w:rPr>
                <w:rFonts w:ascii="Consolas" w:hAnsi="Consolas"/>
                <w:sz w:val="19"/>
              </w:rPr>
              <w:t>API_CONTRACT</w:t>
            </w:r>
            <w:r>
              <w:t xml:space="preserve"> §2.7)</w:t>
            </w:r>
          </w:p>
        </w:tc>
      </w:tr>
      <w:tr>
        <w:tc>
          <w:tcPr>
            <w:tcW w:type="dxa" w:w="4320"/>
          </w:tcPr>
          <w:p>
            <w:r>
              <w:t>Prompt injection via question input</w:t>
            </w:r>
          </w:p>
        </w:tc>
        <w:tc>
          <w:tcPr>
            <w:tcW w:type="dxa" w:w="4320"/>
          </w:tcPr>
          <w:p>
            <w:r>
              <w:t>Questions are user turns; the system prompt is server-side only</w:t>
            </w:r>
          </w:p>
        </w:tc>
      </w:tr>
      <w:tr>
        <w:tc>
          <w:tcPr>
            <w:tcW w:type="dxa" w:w="4320"/>
          </w:tcPr>
          <w:p>
            <w:r>
              <w:t>Learner extracts the diagnosis from the model</w:t>
            </w:r>
          </w:p>
        </w:tc>
        <w:tc>
          <w:tcPr>
            <w:tcW w:type="dxa" w:w="4320"/>
          </w:tcPr>
          <w:p>
            <w:r>
              <w:t>Persona rules + leakage detection (§5.3) — imperfect, disclosed</w:t>
            </w:r>
          </w:p>
        </w:tc>
      </w:tr>
      <w:tr>
        <w:tc>
          <w:tcPr>
            <w:tcW w:type="dxa" w:w="4320"/>
          </w:tcPr>
          <w:p>
            <w:r>
              <w:t>Credential compromise</w:t>
            </w:r>
          </w:p>
        </w:tc>
        <w:tc>
          <w:tcPr>
            <w:tcW w:type="dxa" w:w="4320"/>
          </w:tcPr>
          <w:p>
            <w:r>
              <w:t>Delegated to Supabase Auth (</w:t>
            </w:r>
            <w:r>
              <w:rPr>
                <w:rFonts w:ascii="Consolas" w:hAnsi="Consolas"/>
                <w:sz w:val="19"/>
              </w:rPr>
              <w:t>ADR-0002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LLM cost abuse</w:t>
            </w:r>
          </w:p>
        </w:tc>
        <w:tc>
          <w:tcPr>
            <w:tcW w:type="dxa" w:w="4320"/>
          </w:tcPr>
          <w:p>
            <w:r>
              <w:t>Per-user and per-session rate limits</w:t>
            </w:r>
          </w:p>
        </w:tc>
      </w:tr>
      <w:tr>
        <w:tc>
          <w:tcPr>
            <w:tcW w:type="dxa" w:w="4320"/>
          </w:tcPr>
          <w:p>
            <w:r>
              <w:t>Real patient data entered</w:t>
            </w:r>
          </w:p>
        </w:tc>
        <w:tc>
          <w:tcPr>
            <w:tcW w:type="dxa" w:w="4320"/>
          </w:tcPr>
          <w:p>
            <w:r>
              <w:t>Input guard, blocked and logged without storing the text</w:t>
            </w:r>
          </w:p>
        </w:tc>
      </w:tr>
    </w:tbl>
    <w:p>
      <w:pPr>
        <w:pStyle w:val="Heading2"/>
      </w:pPr>
      <w:r>
        <w:t>11.2 Support access</w:t>
      </w:r>
    </w:p>
    <w:p>
      <w:r>
        <w:t xml:space="preserve">Inspecting a learner's session requires a stated reason, is written to </w:t>
      </w:r>
      <w:r>
        <w:rPr>
          <w:rFonts w:ascii="Consolas" w:hAnsi="Consolas"/>
          <w:sz w:val="19"/>
        </w:rPr>
        <w:t>audit_log</w:t>
      </w:r>
      <w:r>
        <w:t xml:space="preserve">, is time-boxed to 24 hours, and is visible to the user. </w:t>
      </w:r>
      <w:r>
        <w:rPr>
          <w:b/>
        </w:rPr>
        <w:t>Admins never impersonate</w:t>
      </w:r>
      <w:r>
        <w:t>; they view read-only data.</w:t>
      </w:r>
    </w:p>
    <w:p>
      <w:r>
        <w:t>Stricter than most early products, and the right default for professional performance data.</w:t>
      </w:r>
    </w:p>
    <w:p>
      <w:pPr>
        <w:pStyle w:val="Heading2"/>
      </w:pPr>
      <w:r>
        <w:t>11.3 Legal position</w:t>
      </w:r>
    </w:p>
    <w:p>
      <w:r>
        <w:rPr>
          <w:b/>
        </w:rPr>
        <w:t>Educational simulation, not clinical guidance.</w:t>
      </w:r>
      <w:r>
        <w:t xml:space="preserve"> Maintained in the product, the terms, and store listings. Reinforced by the real-patient-data guard and by mandatory clinical review before publication.</w:t>
      </w:r>
    </w:p>
    <w:p/>
    <w:p>
      <w:pPr>
        <w:pStyle w:val="Heading1"/>
      </w:pPr>
      <w:r>
        <w:t>12. Testing strategy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t>Unit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domain/</w:t>
            </w:r>
            <w:r>
              <w:t xml:space="preserve"> — detectors, topics, evaluator, selection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≥ 90 % coverage</w:t>
            </w:r>
          </w:p>
        </w:tc>
      </w:tr>
      <w:tr>
        <w:tc>
          <w:tcPr>
            <w:tcW w:type="dxa" w:w="2880"/>
          </w:tcPr>
          <w:p>
            <w:r>
              <w:t>Property</w:t>
            </w:r>
          </w:p>
        </w:tc>
        <w:tc>
          <w:tcPr>
            <w:tcW w:type="dxa" w:w="2880"/>
          </w:tcPr>
          <w:p>
            <w:r>
              <w:t xml:space="preserve">Invariants: </w:t>
            </w:r>
            <w:r>
              <w:rPr>
                <w:rFonts w:ascii="Consolas" w:hAnsi="Consolas"/>
                <w:sz w:val="19"/>
              </w:rPr>
              <w:t>a ≤ q</w:t>
            </w:r>
            <w:r>
              <w:t>, scores ∈ [0,1], detected ⇒ score &gt; 0</w:t>
            </w:r>
          </w:p>
        </w:tc>
        <w:tc>
          <w:tcPr>
            <w:tcW w:type="dxa" w:w="2880"/>
          </w:tcPr>
          <w:p>
            <w:r>
              <w:t>key functions</w:t>
            </w:r>
          </w:p>
        </w:tc>
      </w:tr>
      <w:tr>
        <w:tc>
          <w:tcPr>
            <w:tcW w:type="dxa" w:w="2880"/>
          </w:tcPr>
          <w:p>
            <w:r>
              <w:t>Case invariants</w:t>
            </w:r>
          </w:p>
        </w:tc>
        <w:tc>
          <w:tcPr>
            <w:tcW w:type="dxa" w:w="2880"/>
          </w:tcPr>
          <w:p>
            <w:r>
              <w:t xml:space="preserve">C-1..C-7, especially </w:t>
            </w:r>
            <w:r>
              <w:rPr>
                <w:b/>
              </w:rPr>
              <w:t>C-4 disjointness</w:t>
            </w:r>
          </w:p>
        </w:tc>
        <w:tc>
          <w:tcPr>
            <w:tcW w:type="dxa" w:w="2880"/>
          </w:tcPr>
          <w:p>
            <w:r>
              <w:t>every case, every build</w:t>
            </w:r>
          </w:p>
        </w:tc>
      </w:tr>
      <w:tr>
        <w:tc>
          <w:tcPr>
            <w:tcW w:type="dxa" w:w="2880"/>
          </w:tcPr>
          <w:p>
            <w:r>
              <w:t>Integration</w:t>
            </w:r>
          </w:p>
        </w:tc>
        <w:tc>
          <w:tcPr>
            <w:tcW w:type="dxa" w:w="2880"/>
          </w:tcPr>
          <w:p>
            <w:r>
              <w:t xml:space="preserve">Repositories, migrations, </w:t>
            </w:r>
            <w:r>
              <w:rPr>
                <w:b/>
              </w:rPr>
              <w:t>RLS policies actually deny</w:t>
            </w:r>
          </w:p>
        </w:tc>
        <w:tc>
          <w:tcPr>
            <w:tcW w:type="dxa" w:w="2880"/>
          </w:tcPr>
          <w:p>
            <w:r>
              <w:t>main paths</w:t>
            </w:r>
          </w:p>
        </w:tc>
      </w:tr>
      <w:tr>
        <w:tc>
          <w:tcPr>
            <w:tcW w:type="dxa" w:w="2880"/>
          </w:tcPr>
          <w:p>
            <w:r>
              <w:t>Contract</w:t>
            </w:r>
          </w:p>
        </w:tc>
        <w:tc>
          <w:tcPr>
            <w:tcW w:type="dxa" w:w="2880"/>
          </w:tcPr>
          <w:p>
            <w:r>
              <w:t>CT-1..CT-9 — the API leak guards</w:t>
            </w:r>
          </w:p>
        </w:tc>
        <w:tc>
          <w:tcPr>
            <w:tcW w:type="dxa" w:w="2880"/>
          </w:tcPr>
          <w:p>
            <w:r>
              <w:t>all, mandatory</w:t>
            </w:r>
          </w:p>
        </w:tc>
      </w:tr>
      <w:tr>
        <w:tc>
          <w:tcPr>
            <w:tcW w:type="dxa" w:w="2880"/>
          </w:tcPr>
          <w:p>
            <w:r>
              <w:t>E2E</w:t>
            </w:r>
          </w:p>
        </w:tc>
        <w:tc>
          <w:tcPr>
            <w:tcW w:type="dxa" w:w="2880"/>
          </w:tcPr>
          <w:p>
            <w:r>
              <w:t>Full consultation → feedback</w:t>
            </w:r>
          </w:p>
        </w:tc>
        <w:tc>
          <w:tcPr>
            <w:tcW w:type="dxa" w:w="2880"/>
          </w:tcPr>
          <w:p>
            <w:r>
              <w:t>3 happy, 2 failure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Validation</w:t>
            </w:r>
          </w:p>
        </w:tc>
        <w:tc>
          <w:tcPr>
            <w:tcW w:type="dxa" w:w="2880"/>
          </w:tcPr>
          <w:p>
            <w:r>
              <w:t>18 labelled transcripts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≥ 94 %, build-blocking</w:t>
            </w:r>
          </w:p>
        </w:tc>
      </w:tr>
      <w:tr>
        <w:tc>
          <w:tcPr>
            <w:tcW w:type="dxa" w:w="2880"/>
          </w:tcPr>
          <w:p>
            <w:r>
              <w:t>Adversarial</w:t>
            </w:r>
          </w:p>
        </w:tc>
        <w:tc>
          <w:tcPr>
            <w:tcW w:type="dxa" w:w="2880"/>
          </w:tcPr>
          <w:p>
            <w:r>
              <w:t>Persona extraction attempts per case</w:t>
            </w:r>
          </w:p>
        </w:tc>
        <w:tc>
          <w:tcPr>
            <w:tcW w:type="dxa" w:w="2880"/>
          </w:tcPr>
          <w:p>
            <w:r>
              <w:t>every case</w:t>
            </w:r>
          </w:p>
        </w:tc>
      </w:tr>
      <w:tr>
        <w:tc>
          <w:tcPr>
            <w:tcW w:type="dxa" w:w="2880"/>
          </w:tcPr>
          <w:p>
            <w:r>
              <w:t>Golden file</w:t>
            </w:r>
          </w:p>
        </w:tc>
        <w:tc>
          <w:tcPr>
            <w:tcW w:type="dxa" w:w="2880"/>
          </w:tcPr>
          <w:p>
            <w:r>
              <w:t>16 pilot sessions recompute identically</w:t>
            </w:r>
          </w:p>
        </w:tc>
        <w:tc>
          <w:tcPr>
            <w:tcW w:type="dxa" w:w="2880"/>
          </w:tcPr>
          <w:p>
            <w:r>
              <w:t>every build</w:t>
            </w:r>
          </w:p>
        </w:tc>
      </w:tr>
    </w:tbl>
    <w:p>
      <w:r>
        <w:rPr>
          <w:b/>
        </w:rPr>
        <w:t>Coverage is enforced on `domain/` only.</w:t>
      </w:r>
      <w:r>
        <w:t xml:space="preserve"> Chasing coverage on I/O glue produces tests that assert mocks.</w:t>
      </w:r>
    </w:p>
    <w:p>
      <w:r>
        <w:rPr>
          <w:b/>
        </w:rPr>
        <w:t>The two most important tests in the codebase</w:t>
      </w:r>
      <w:r>
        <w:t xml:space="preserve"> are CT-1 (session start leaks no case internals) and CT-5 (no response contains bias vocabulary). One protects the measurement; the other protects the learner.</w:t>
      </w:r>
    </w:p>
    <w:p/>
    <w:p>
      <w:pPr>
        <w:pStyle w:val="Heading1"/>
      </w:pPr>
      <w:r>
        <w:t>13. Non-functional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t>NFR-1</w:t>
            </w:r>
          </w:p>
        </w:tc>
        <w:tc>
          <w:tcPr>
            <w:tcW w:type="dxa" w:w="2880"/>
          </w:tcPr>
          <w:p>
            <w:r>
              <w:t>Patient reply latency</w:t>
            </w:r>
          </w:p>
        </w:tc>
        <w:tc>
          <w:tcPr>
            <w:tcW w:type="dxa" w:w="2880"/>
          </w:tcPr>
          <w:p>
            <w:r>
              <w:t>p95 &lt; 6 s</w:t>
            </w:r>
          </w:p>
        </w:tc>
      </w:tr>
      <w:tr>
        <w:tc>
          <w:tcPr>
            <w:tcW w:type="dxa" w:w="2880"/>
          </w:tcPr>
          <w:p>
            <w:r>
              <w:t>NFR-2</w:t>
            </w:r>
          </w:p>
        </w:tc>
        <w:tc>
          <w:tcPr>
            <w:tcW w:type="dxa" w:w="2880"/>
          </w:tcPr>
          <w:p>
            <w:r>
              <w:t>Assessment computation</w:t>
            </w:r>
          </w:p>
        </w:tc>
        <w:tc>
          <w:tcPr>
            <w:tcW w:type="dxa" w:w="2880"/>
          </w:tcPr>
          <w:p>
            <w:r>
              <w:t>p95 &lt; 500 ms</w:t>
            </w:r>
          </w:p>
        </w:tc>
      </w:tr>
      <w:tr>
        <w:tc>
          <w:tcPr>
            <w:tcW w:type="dxa" w:w="2880"/>
          </w:tcPr>
          <w:p>
            <w:r>
              <w:t>NFR-3</w:t>
            </w:r>
          </w:p>
        </w:tc>
        <w:tc>
          <w:tcPr>
            <w:tcW w:type="dxa" w:w="2880"/>
          </w:tcPr>
          <w:p>
            <w:r>
              <w:t>Page render (non-LLM)</w:t>
            </w:r>
          </w:p>
        </w:tc>
        <w:tc>
          <w:tcPr>
            <w:tcW w:type="dxa" w:w="2880"/>
          </w:tcPr>
          <w:p>
            <w:r>
              <w:t>p95 &lt; 400 ms</w:t>
            </w:r>
          </w:p>
        </w:tc>
      </w:tr>
      <w:tr>
        <w:tc>
          <w:tcPr>
            <w:tcW w:type="dxa" w:w="2880"/>
          </w:tcPr>
          <w:p>
            <w:r>
              <w:t>NFR-4</w:t>
            </w:r>
          </w:p>
        </w:tc>
        <w:tc>
          <w:tcPr>
            <w:tcW w:type="dxa" w:w="2880"/>
          </w:tcPr>
          <w:p>
            <w:r>
              <w:t>Availability</w:t>
            </w:r>
          </w:p>
        </w:tc>
        <w:tc>
          <w:tcPr>
            <w:tcW w:type="dxa" w:w="2880"/>
          </w:tcPr>
          <w:p>
            <w:r>
              <w:t>99.5 %</w:t>
            </w:r>
          </w:p>
        </w:tc>
      </w:tr>
      <w:tr>
        <w:tc>
          <w:tcPr>
            <w:tcW w:type="dxa" w:w="2880"/>
          </w:tcPr>
          <w:p>
            <w:r>
              <w:t>NFR-5</w:t>
            </w:r>
          </w:p>
        </w:tc>
        <w:tc>
          <w:tcPr>
            <w:tcW w:type="dxa" w:w="2880"/>
          </w:tcPr>
          <w:p>
            <w:r>
              <w:t>Zero data loss for completed consultations</w:t>
            </w:r>
          </w:p>
        </w:tc>
        <w:tc>
          <w:tcPr>
            <w:tcW w:type="dxa" w:w="2880"/>
          </w:tcPr>
          <w:p>
            <w:r>
              <w:t>100 %</w:t>
            </w:r>
          </w:p>
        </w:tc>
      </w:tr>
      <w:tr>
        <w:tc>
          <w:tcPr>
            <w:tcW w:type="dxa" w:w="2880"/>
          </w:tcPr>
          <w:p>
            <w:r>
              <w:t>NFR-6</w:t>
            </w:r>
          </w:p>
        </w:tc>
        <w:tc>
          <w:tcPr>
            <w:tcW w:type="dxa" w:w="2880"/>
          </w:tcPr>
          <w:p>
            <w:r>
              <w:t>Concurrent consultations</w:t>
            </w:r>
          </w:p>
        </w:tc>
        <w:tc>
          <w:tcPr>
            <w:tcW w:type="dxa" w:w="2880"/>
          </w:tcPr>
          <w:p>
            <w:r>
              <w:t>50 without degradation</w:t>
            </w:r>
          </w:p>
        </w:tc>
      </w:tr>
      <w:tr>
        <w:tc>
          <w:tcPr>
            <w:tcW w:type="dxa" w:w="2880"/>
          </w:tcPr>
          <w:p>
            <w:r>
              <w:t>NFR-7</w:t>
            </w:r>
          </w:p>
        </w:tc>
        <w:tc>
          <w:tcPr>
            <w:tcW w:type="dxa" w:w="2880"/>
          </w:tcPr>
          <w:p>
            <w:r>
              <w:t>LLM cost per completed session</w:t>
            </w:r>
          </w:p>
        </w:tc>
        <w:tc>
          <w:tcPr>
            <w:tcW w:type="dxa" w:w="2880"/>
          </w:tcPr>
          <w:p>
            <w:r>
              <w:t>&lt; $0.05</w:t>
            </w:r>
          </w:p>
        </w:tc>
      </w:tr>
      <w:tr>
        <w:tc>
          <w:tcPr>
            <w:tcW w:type="dxa" w:w="2880"/>
          </w:tcPr>
          <w:p>
            <w:r>
              <w:t>NFR-8</w:t>
            </w:r>
          </w:p>
        </w:tc>
        <w:tc>
          <w:tcPr>
            <w:tcW w:type="dxa" w:w="2880"/>
          </w:tcPr>
          <w:p>
            <w:r>
              <w:t>Detector accuracy on the validation set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≥ 94 %</w:t>
            </w:r>
          </w:p>
        </w:tc>
      </w:tr>
      <w:tr>
        <w:tc>
          <w:tcPr>
            <w:tcW w:type="dxa" w:w="2880"/>
          </w:tcPr>
          <w:p>
            <w:r>
              <w:t>NFR-9</w:t>
            </w:r>
          </w:p>
        </w:tc>
        <w:tc>
          <w:tcPr>
            <w:tcW w:type="dxa" w:w="2880"/>
          </w:tcPr>
          <w:p>
            <w:r>
              <w:t>Accessibility</w:t>
            </w:r>
          </w:p>
        </w:tc>
        <w:tc>
          <w:tcPr>
            <w:tcW w:type="dxa" w:w="2880"/>
          </w:tcPr>
          <w:p>
            <w:r>
              <w:t>WCAG 2.1 AA on the learner flow</w:t>
            </w:r>
          </w:p>
        </w:tc>
      </w:tr>
      <w:tr>
        <w:tc>
          <w:tcPr>
            <w:tcW w:type="dxa" w:w="2880"/>
          </w:tcPr>
          <w:p>
            <w:r>
              <w:t>NFR-10</w:t>
            </w:r>
          </w:p>
        </w:tc>
        <w:tc>
          <w:tcPr>
            <w:tcW w:type="dxa" w:w="2880"/>
          </w:tcPr>
          <w:p>
            <w:r>
              <w:t>Recovery point objective</w:t>
            </w:r>
          </w:p>
        </w:tc>
        <w:tc>
          <w:tcPr>
            <w:tcW w:type="dxa" w:w="2880"/>
          </w:tcPr>
          <w:p>
            <w:r>
              <w:t>≤ 24 h</w:t>
            </w:r>
          </w:p>
        </w:tc>
      </w:tr>
    </w:tbl>
    <w:p>
      <w:r>
        <w:t>NFR-6 is deliberately modest. Designing for 10 000 concurrent users would be speculative.</w:t>
      </w:r>
    </w:p>
    <w:p/>
    <w:p>
      <w:pPr>
        <w:pStyle w:val="Heading1"/>
      </w:pPr>
      <w:r>
        <w:t>14. Research operations</w:t>
      </w:r>
    </w:p>
    <w:p>
      <w:r>
        <w:t xml:space="preserve">The product is commercial; research participation is </w:t>
      </w:r>
      <w:r>
        <w:rPr>
          <w:b/>
        </w:rPr>
        <w:t>opt-in and never default</w:t>
      </w:r>
      <w:r>
        <w:t xml:space="preserve"> (</w:t>
      </w:r>
      <w:r>
        <w:rPr>
          <w:rFonts w:ascii="Consolas" w:hAnsi="Consolas"/>
          <w:sz w:val="19"/>
        </w:rPr>
        <w:t>PLATFORM_SPEC</w:t>
      </w:r>
      <w:r>
        <w:t xml:space="preserve"> §10.3). A paying user is never silently placed in a control arm.</w:t>
      </w:r>
    </w:p>
    <w:p>
      <w:r>
        <w:rPr>
          <w:b/>
        </w:rPr>
        <w:t>Causal claims require a control group.</w:t>
      </w:r>
      <w:r>
        <w:t xml:space="preserve"> The pilot showed coverage rising 45.3 % → 79.7 % (</w:t>
      </w:r>
      <w:r>
        <w:rPr>
          <w:i/>
        </w:rPr>
        <w:t>p</w:t>
      </w:r>
      <w:r>
        <w:t xml:space="preserve"> = 0.036), but every participant received feedback, so improvement cannot be separated from practice effects. A no-feedback control arm resolves this; a </w:t>
      </w:r>
      <w:r>
        <w:rPr>
          <w:b/>
        </w:rPr>
        <w:t>wait-list design</w:t>
      </w:r>
      <w:r>
        <w:t xml:space="preserve"> — controls receive full feedback when the study closes — resolves the ethical objection and is familiar to ethics committees.</w:t>
      </w:r>
    </w:p>
    <w:p>
      <w:r>
        <w:t>Ethics approval is required before any controlled study.</w:t>
      </w:r>
    </w:p>
    <w:p>
      <w:r>
        <w:t>The research export (</w:t>
      </w:r>
      <w:r>
        <w:rPr>
          <w:rFonts w:ascii="Consolas" w:hAnsi="Consolas"/>
          <w:sz w:val="19"/>
        </w:rPr>
        <w:t>DATA_MODEL</w:t>
      </w:r>
      <w:r>
        <w:t xml:space="preserve"> §11.7) applies three protections in one query: consent required, leakage-confirmed sessions excluded, pseudonymous identifiers only.</w:t>
      </w:r>
    </w:p>
    <w:p/>
    <w:p>
      <w:pPr>
        <w:pStyle w:val="Heading1"/>
      </w:pPr>
      <w:r>
        <w:t>15. Open technical questions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880"/>
          </w:tcPr>
          <w:p>
            <w:r>
              <w:t>TS-1</w:t>
            </w:r>
          </w:p>
        </w:tc>
        <w:tc>
          <w:tcPr>
            <w:tcW w:type="dxa" w:w="2880"/>
          </w:tcPr>
          <w:p>
            <w:r>
              <w:t>Stream patient replies (SSE)?</w:t>
            </w:r>
          </w:p>
        </w:tc>
        <w:tc>
          <w:tcPr>
            <w:tcW w:type="dxa" w:w="2880"/>
          </w:tcPr>
          <w:p>
            <w:r>
              <w:t>Not in v1. Revisit if p95 stays above 5 s</w:t>
            </w:r>
          </w:p>
        </w:tc>
      </w:tr>
      <w:tr>
        <w:tc>
          <w:tcPr>
            <w:tcW w:type="dxa" w:w="2880"/>
          </w:tcPr>
          <w:p>
            <w:r>
              <w:t>TS-2</w:t>
            </w:r>
          </w:p>
        </w:tc>
        <w:tc>
          <w:tcPr>
            <w:tcW w:type="dxa" w:w="2880"/>
          </w:tcPr>
          <w:p>
            <w:r>
              <w:t>Read replica for analytics?</w:t>
            </w:r>
          </w:p>
        </w:tc>
        <w:tc>
          <w:tcPr>
            <w:tcW w:type="dxa" w:w="2880"/>
          </w:tcPr>
          <w:p>
            <w:r>
              <w:t>Not until analytical queries measurably affect writes</w:t>
            </w:r>
          </w:p>
        </w:tc>
      </w:tr>
      <w:tr>
        <w:tc>
          <w:tcPr>
            <w:tcW w:type="dxa" w:w="2880"/>
          </w:tcPr>
          <w:p>
            <w:r>
              <w:t>TS-3</w:t>
            </w:r>
          </w:p>
        </w:tc>
        <w:tc>
          <w:tcPr>
            <w:tcW w:type="dxa" w:w="2880"/>
          </w:tcPr>
          <w:p>
            <w:r>
              <w:t>Self-host the embedding model or use an API?</w:t>
            </w:r>
          </w:p>
        </w:tc>
        <w:tc>
          <w:tcPr>
            <w:tcW w:type="dxa" w:w="2880"/>
          </w:tcPr>
          <w:p>
            <w:r>
              <w:t>Self-host — no per-call cost, no latency, data stays local</w:t>
            </w:r>
          </w:p>
        </w:tc>
      </w:tr>
      <w:tr>
        <w:tc>
          <w:tcPr>
            <w:tcW w:type="dxa" w:w="2880"/>
          </w:tcPr>
          <w:p>
            <w:r>
              <w:t>TS-4</w:t>
            </w:r>
          </w:p>
        </w:tc>
        <w:tc>
          <w:tcPr>
            <w:tcW w:type="dxa" w:w="2880"/>
          </w:tcPr>
          <w:p>
            <w:r>
              <w:t xml:space="preserve">Partition </w:t>
            </w:r>
            <w:r>
              <w:rPr>
                <w:rFonts w:ascii="Consolas" w:hAnsi="Consolas"/>
                <w:sz w:val="19"/>
              </w:rPr>
              <w:t>session_events</w:t>
            </w:r>
            <w:r>
              <w:t>?</w:t>
            </w:r>
          </w:p>
        </w:tc>
        <w:tc>
          <w:tcPr>
            <w:tcW w:type="dxa" w:w="2880"/>
          </w:tcPr>
          <w:p>
            <w:r>
              <w:t>No. Revisit past ~50 M rows</w:t>
            </w:r>
          </w:p>
        </w:tc>
      </w:tr>
      <w:tr>
        <w:tc>
          <w:tcPr>
            <w:tcW w:type="dxa" w:w="2880"/>
          </w:tcPr>
          <w:p>
            <w:r>
              <w:t>TS-5</w:t>
            </w:r>
          </w:p>
        </w:tc>
        <w:tc>
          <w:tcPr>
            <w:tcW w:type="dxa" w:w="2880"/>
          </w:tcPr>
          <w:p>
            <w:r>
              <w:t>Multi-region?</w:t>
            </w:r>
          </w:p>
        </w:tc>
        <w:tc>
          <w:tcPr>
            <w:tcW w:type="dxa" w:w="2880"/>
          </w:tcPr>
          <w:p>
            <w:r>
              <w:t>No. Users cluster by institution</w:t>
            </w:r>
          </w:p>
        </w:tc>
      </w:tr>
    </w:tbl>
    <w:p/>
    <w:p>
      <w:r>
        <w:rPr>
          <w:i/>
        </w:rPr>
        <w:t>End of Technical Specification. Decisions live in `adr/`; supersede rather than edit.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