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Nidan — Architecture Decision Records</w:t>
      </w:r>
    </w:p>
    <w:p>
      <w:r>
        <w:rPr>
          <w:i/>
          <w:sz w:val="17"/>
        </w:rPr>
        <w:t>Nidan · generated from docs/spec/adr/.combined.md on 2026-10-28</w:t>
      </w:r>
    </w:p>
    <w:p>
      <w:pPr>
        <w:pStyle w:val="Heading1"/>
      </w:pPr>
      <w:r>
        <w:t>Architecture Decision Records</w:t>
      </w:r>
    </w:p>
    <w:p>
      <w:pPr>
        <w:pStyle w:val="Heading1"/>
      </w:pPr>
      <w:r>
        <w:t>ADR-0001 · PostgreSQL with pgvector, hosted on Supabase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2026-08-22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Deciders</w:t>
            </w:r>
          </w:p>
        </w:tc>
        <w:tc>
          <w:tcPr>
            <w:tcW w:type="dxa" w:w="4320"/>
          </w:tcPr>
          <w:p>
            <w:r>
              <w:t>Vraj Patel, Yogesh Bagotia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Supersedes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>
      <w:pPr>
        <w:pStyle w:val="Heading2"/>
      </w:pPr>
      <w:r>
        <w:t>Context</w:t>
      </w:r>
    </w:p>
    <w:p>
      <w:r>
        <w:t xml:space="preserve">We need persistent storage for users, cases, sessions, an append-only event log, and vector embeddings for semantic topic matching. The team is two developers with no dedicated ops capacity. Data is strongly relational: a session belongs to a user, a case </w:t>
      </w:r>
      <w:r>
        <w:rPr>
          <w:i/>
        </w:rPr>
        <w:t>version</w:t>
      </w:r>
      <w:r>
        <w:t>, and an experiment arm.</w:t>
      </w:r>
    </w:p>
    <w:p>
      <w:pPr>
        <w:pStyle w:val="Heading2"/>
      </w:pPr>
      <w:r>
        <w:t>Decision</w:t>
      </w:r>
    </w:p>
    <w:p>
      <w:r>
        <w:t xml:space="preserve">Use a single PostgreSQL 16 database with the </w:t>
      </w:r>
      <w:r>
        <w:rPr>
          <w:rFonts w:ascii="Consolas" w:hAnsi="Consolas"/>
          <w:sz w:val="19"/>
        </w:rPr>
        <w:t>pgvector</w:t>
      </w:r>
      <w:r>
        <w:t xml:space="preserve"> extension, hosted on Supabase. One database, one provider.</w:t>
      </w:r>
    </w:p>
    <w:p>
      <w:pPr>
        <w:pStyle w:val="Heading2"/>
      </w:pPr>
      <w:r>
        <w:t>Alternatives considered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rejected</w:t>
            </w:r>
          </w:p>
        </w:tc>
      </w:tr>
      <w:tr>
        <w:tc>
          <w:tcPr>
            <w:tcW w:type="dxa" w:w="4320"/>
          </w:tcPr>
          <w:p>
            <w:r>
              <w:t>Neon</w:t>
            </w:r>
          </w:p>
        </w:tc>
        <w:tc>
          <w:tcPr>
            <w:tcW w:type="dxa" w:w="4320"/>
          </w:tcPr>
          <w:p>
            <w:r>
              <w:t>Postgres-only. Excellent branching, but no auth or storage, and we need both.</w:t>
            </w:r>
          </w:p>
        </w:tc>
      </w:tr>
      <w:tr>
        <w:tc>
          <w:tcPr>
            <w:tcW w:type="dxa" w:w="4320"/>
          </w:tcPr>
          <w:p>
            <w:r>
              <w:t>MongoDB</w:t>
            </w:r>
          </w:p>
        </w:tc>
        <w:tc>
          <w:tcPr>
            <w:tcW w:type="dxa" w:w="4320"/>
          </w:tcPr>
          <w:p>
            <w:r>
              <w:t>Data is relational; document modelling would force duplication or client-side joins.</w:t>
            </w:r>
          </w:p>
        </w:tc>
      </w:tr>
      <w:tr>
        <w:tc>
          <w:tcPr>
            <w:tcW w:type="dxa" w:w="4320"/>
          </w:tcPr>
          <w:p>
            <w:r>
              <w:t>SQLite</w:t>
            </w:r>
          </w:p>
        </w:tc>
        <w:tc>
          <w:tcPr>
            <w:tcW w:type="dxa" w:w="4320"/>
          </w:tcPr>
          <w:p>
            <w:r>
              <w:t>Single-writer lock fails under multiple workers.</w:t>
            </w:r>
          </w:p>
        </w:tc>
      </w:tr>
      <w:tr>
        <w:tc>
          <w:tcPr>
            <w:tcW w:type="dxa" w:w="4320"/>
          </w:tcPr>
          <w:p>
            <w:r>
              <w:t>Firebase</w:t>
            </w:r>
          </w:p>
        </w:tc>
        <w:tc>
          <w:tcPr>
            <w:tcW w:type="dxa" w:w="4320"/>
          </w:tcPr>
          <w:p>
            <w:r>
              <w:t>NoSQL; unsuited to paired statistical analysis.</w:t>
            </w:r>
          </w:p>
        </w:tc>
      </w:tr>
      <w:tr>
        <w:tc>
          <w:tcPr>
            <w:tcW w:type="dxa" w:w="4320"/>
          </w:tcPr>
          <w:p>
            <w:r>
              <w:t>Postgres + separate vector DB</w:t>
            </w:r>
          </w:p>
        </w:tc>
        <w:tc>
          <w:tcPr>
            <w:tcW w:type="dxa" w:w="4320"/>
          </w:tcPr>
          <w:p>
            <w:r>
              <w:t>Two datastores and two failure modes for ~10³–10⁴ vectors.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Supabase + Neon together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Actively broken</w:t>
            </w:r>
            <w:r>
              <w:t xml:space="preserve"> — users and sessions in separate databases means no foreign keys and no joins.</w:t>
            </w:r>
          </w:p>
        </w:tc>
      </w:tr>
    </w:tbl>
    <w:p>
      <w:pPr>
        <w:pStyle w:val="Heading2"/>
      </w:pPr>
      <w:r>
        <w:t>Consequences</w:t>
      </w:r>
    </w:p>
    <w:p>
      <w:pPr>
        <w:pStyle w:val="ListBullet"/>
      </w:pPr>
      <w:r>
        <w:rPr>
          <w:rFonts w:ascii="Consolas" w:hAnsi="Consolas"/>
          <w:sz w:val="19"/>
        </w:rPr>
        <w:t>JSONB</w:t>
      </w:r>
      <w:r>
        <w:t xml:space="preserve"> covers evolving detector output without migrations</w:t>
      </w:r>
    </w:p>
    <w:p>
      <w:pPr>
        <w:pStyle w:val="ListBullet"/>
      </w:pPr>
      <w:r>
        <w:rPr>
          <w:rFonts w:ascii="Consolas" w:hAnsi="Consolas"/>
          <w:sz w:val="19"/>
        </w:rPr>
        <w:t>pgvector</w:t>
      </w:r>
      <w:r>
        <w:t xml:space="preserve"> handles embeddings in the same engine</w:t>
      </w:r>
    </w:p>
    <w:p>
      <w:pPr>
        <w:pStyle w:val="ListBullet"/>
      </w:pPr>
      <w:r>
        <w:t>Window functions support paired statistical analysis directly</w:t>
      </w:r>
    </w:p>
    <w:p>
      <w:pPr>
        <w:pStyle w:val="ListBullet"/>
      </w:pPr>
      <w:r>
        <w:t>Free tier covers pilot scale</w:t>
      </w:r>
    </w:p>
    <w:p>
      <w:r>
        <w:t>− Inherits Supabase availability</w:t>
      </w:r>
    </w:p>
    <w:p>
      <w:r>
        <w:t>− Forgoes Neon's per-PR database branching</w:t>
      </w:r>
    </w:p>
    <w:p>
      <w:r>
        <w:t>− Revisit vector storage past ~10⁶ vectors</w:t>
      </w:r>
    </w:p>
    <w:p/>
    <w:p>
      <w:pPr>
        <w:pStyle w:val="Heading1"/>
      </w:pPr>
      <w:r>
        <w:t>ADR-0002 · Supabase Auth rather than custom authentication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2026-08-22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Deciders</w:t>
            </w:r>
          </w:p>
        </w:tc>
        <w:tc>
          <w:tcPr>
            <w:tcW w:type="dxa" w:w="4320"/>
          </w:tcPr>
          <w:p>
            <w:r>
              <w:t>Vraj Patel, Yogesh Bagotia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Supersedes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>
      <w:pPr>
        <w:pStyle w:val="Heading2"/>
      </w:pPr>
      <w:r>
        <w:t>Context</w:t>
      </w:r>
    </w:p>
    <w:p>
      <w:r>
        <w:t>The product needs accounts, OAuth, and password reset. App Store policy requires Sign in with Apple if any other social login is offered. The team has no security reviewer, and a mistake here compromises medical professionals' accounts.</w:t>
      </w:r>
    </w:p>
    <w:p>
      <w:pPr>
        <w:pStyle w:val="Heading2"/>
      </w:pPr>
      <w:r>
        <w:t>Decision</w:t>
      </w:r>
    </w:p>
    <w:p>
      <w:r>
        <w:t>Delegate authentication to Supabase Auth. Verify JWTs in the backend; never handle passwords.</w:t>
      </w:r>
    </w:p>
    <w:p>
      <w:pPr>
        <w:pStyle w:val="Heading2"/>
      </w:pPr>
      <w:r>
        <w:t>Alternatives considered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rejected</w:t>
            </w:r>
          </w:p>
        </w:tc>
      </w:tr>
      <w:tr>
        <w:tc>
          <w:tcPr>
            <w:tcW w:type="dxa" w:w="4320"/>
          </w:tcPr>
          <w:p>
            <w:r>
              <w:t>Build our own</w:t>
            </w:r>
          </w:p>
        </w:tc>
        <w:tc>
          <w:tcPr>
            <w:tcW w:type="dxa" w:w="4320"/>
          </w:tcPr>
          <w:p>
            <w:r>
              <w:t>~15 developer-days, permanent security liability, App Store risk, zero differentiating value.</w:t>
            </w:r>
          </w:p>
        </w:tc>
      </w:tr>
      <w:tr>
        <w:tc>
          <w:tcPr>
            <w:tcW w:type="dxa" w:w="4320"/>
          </w:tcPr>
          <w:p>
            <w:r>
              <w:t>Clerk</w:t>
            </w:r>
          </w:p>
        </w:tc>
        <w:tc>
          <w:tcPr>
            <w:tcW w:type="dxa" w:w="4320"/>
          </w:tcPr>
          <w:p>
            <w:r>
              <w:t>Good, but a second vendor alongside Supabase-the-database.</w:t>
            </w:r>
          </w:p>
        </w:tc>
      </w:tr>
      <w:tr>
        <w:tc>
          <w:tcPr>
            <w:tcW w:type="dxa" w:w="4320"/>
          </w:tcPr>
          <w:p>
            <w:r>
              <w:t>Auth0</w:t>
            </w:r>
          </w:p>
        </w:tc>
        <w:tc>
          <w:tcPr>
            <w:tcW w:type="dxa" w:w="4320"/>
          </w:tcPr>
          <w:p>
            <w:r>
              <w:t>Enterprise pricing, overkill.</w:t>
            </w:r>
          </w:p>
        </w:tc>
      </w:tr>
      <w:tr>
        <w:tc>
          <w:tcPr>
            <w:tcW w:type="dxa" w:w="4320"/>
          </w:tcPr>
          <w:p>
            <w:r>
              <w:t>Firebase Auth</w:t>
            </w:r>
          </w:p>
        </w:tc>
        <w:tc>
          <w:tcPr>
            <w:tcW w:type="dxa" w:w="4320"/>
          </w:tcPr>
          <w:p>
            <w:r>
              <w:t>Users in Google's system, data in Postgres — the split-brain problem of ADR-0001.</w:t>
            </w:r>
          </w:p>
        </w:tc>
      </w:tr>
    </w:tbl>
    <w:p>
      <w:pPr>
        <w:pStyle w:val="Heading2"/>
      </w:pPr>
      <w:r>
        <w:t>Consequences</w:t>
      </w:r>
    </w:p>
    <w:p>
      <w:pPr>
        <w:pStyle w:val="ListBullet"/>
      </w:pPr>
      <w:r>
        <w:t>~1 day to integrate versus ~15 to build</w:t>
      </w:r>
    </w:p>
    <w:p>
      <w:pPr>
        <w:pStyle w:val="ListBullet"/>
      </w:pPr>
      <w:r>
        <w:t>Users live in our own Postgres (</w:t>
      </w:r>
      <w:r>
        <w:rPr>
          <w:rFonts w:ascii="Consolas" w:hAnsi="Consolas"/>
          <w:sz w:val="19"/>
        </w:rPr>
        <w:t>auth.users</w:t>
      </w:r>
      <w:r>
        <w:t>) — no data lock-in</w:t>
      </w:r>
    </w:p>
    <w:p>
      <w:pPr>
        <w:pStyle w:val="ListBullet"/>
      </w:pPr>
      <w:r>
        <w:t>Google and Apple OAuth handled, including Apple private-relay emails</w:t>
      </w:r>
    </w:p>
    <w:p>
      <w:pPr>
        <w:pStyle w:val="ListBullet"/>
      </w:pPr>
      <w:r>
        <w:t>Free to 50 000 monthly active users</w:t>
      </w:r>
    </w:p>
    <w:p>
      <w:r>
        <w:t>− Auth availability is now a dependency</w:t>
      </w:r>
    </w:p>
    <w:p>
      <w:r>
        <w:t>− Some customisation of email templates is constrained</w:t>
      </w:r>
    </w:p>
    <w:p/>
    <w:p>
      <w:pPr>
        <w:pStyle w:val="Heading1"/>
      </w:pPr>
      <w:r>
        <w:t>ADR-0003 · Event-sourced session state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2026-08-22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Deciders</w:t>
            </w:r>
          </w:p>
        </w:tc>
        <w:tc>
          <w:tcPr>
            <w:tcW w:type="dxa" w:w="4320"/>
          </w:tcPr>
          <w:p>
            <w:r>
              <w:t>Vraj Patel, Yogesh Bagotia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Supersedes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>
      <w:pPr>
        <w:pStyle w:val="Heading2"/>
      </w:pPr>
      <w:r>
        <w:t>Context</w:t>
      </w:r>
    </w:p>
    <w:p>
      <w:r>
        <w:t>Session state currently lives in a process-local dictionary, so a restart loses in-flight consultations and the app cannot run more than one worker. Separately, the pilot's data-integrity check worked by recomputing bias flags from stored questions — which is event sourcing in all but name.</w:t>
      </w:r>
    </w:p>
    <w:p>
      <w:pPr>
        <w:pStyle w:val="Heading2"/>
      </w:pPr>
      <w:r>
        <w:t>Decision</w:t>
      </w:r>
    </w:p>
    <w:p>
      <w:r>
        <w:t xml:space="preserve">Persist every consultation action as an append-only row in </w:t>
      </w:r>
      <w:r>
        <w:rPr>
          <w:rFonts w:ascii="Consolas" w:hAnsi="Consolas"/>
          <w:sz w:val="19"/>
        </w:rPr>
        <w:t>session_events</w:t>
      </w:r>
      <w:r>
        <w:t>. Derive session state and all assessment results by replaying that log.</w:t>
      </w:r>
    </w:p>
    <w:p>
      <w:pPr>
        <w:pStyle w:val="Heading2"/>
      </w:pPr>
      <w:r>
        <w:t>Alternatives considered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rejected</w:t>
            </w:r>
          </w:p>
        </w:tc>
      </w:tr>
      <w:tr>
        <w:tc>
          <w:tcPr>
            <w:tcW w:type="dxa" w:w="4320"/>
          </w:tcPr>
          <w:p>
            <w:r>
              <w:t>Redis for session state</w:t>
            </w:r>
          </w:p>
        </w:tc>
        <w:tc>
          <w:tcPr>
            <w:tcW w:type="dxa" w:w="4320"/>
          </w:tcPr>
          <w:p>
            <w:r>
              <w:t>Adds a second stateful service to solve a problem Postgres already solves at this scale.</w:t>
            </w:r>
          </w:p>
        </w:tc>
      </w:tr>
      <w:tr>
        <w:tc>
          <w:tcPr>
            <w:tcW w:type="dxa" w:w="4320"/>
          </w:tcPr>
          <w:p>
            <w:r>
              <w:t>Signed client-side cookie</w:t>
            </w:r>
          </w:p>
        </w:tc>
        <w:tc>
          <w:tcPr>
            <w:tcW w:type="dxa" w:w="4320"/>
          </w:tcPr>
          <w:p>
            <w:r>
              <w:t>4 KB limit; transcripts exceed it; and it would let a user tamper with assessment input.</w:t>
            </w:r>
          </w:p>
        </w:tc>
      </w:tr>
      <w:tr>
        <w:tc>
          <w:tcPr>
            <w:tcW w:type="dxa" w:w="4320"/>
          </w:tcPr>
          <w:p>
            <w:r>
              <w:t>Sticky sessions</w:t>
            </w:r>
          </w:p>
        </w:tc>
        <w:tc>
          <w:tcPr>
            <w:tcW w:type="dxa" w:w="4320"/>
          </w:tcPr>
          <w:p>
            <w:r>
              <w:t>Preserves the data-loss bug rather than fixing it.</w:t>
            </w:r>
          </w:p>
        </w:tc>
      </w:tr>
      <w:tr>
        <w:tc>
          <w:tcPr>
            <w:tcW w:type="dxa" w:w="4320"/>
          </w:tcPr>
          <w:p>
            <w:r>
              <w:t>Mutable session row</w:t>
            </w:r>
          </w:p>
        </w:tc>
        <w:tc>
          <w:tcPr>
            <w:tcW w:type="dxa" w:w="4320"/>
          </w:tcPr>
          <w:p>
            <w:r>
              <w:t>Loses the ability to replay and recompute.</w:t>
            </w:r>
          </w:p>
        </w:tc>
      </w:tr>
    </w:tbl>
    <w:p>
      <w:pPr>
        <w:pStyle w:val="Heading2"/>
      </w:pPr>
      <w:r>
        <w:t>Consequences</w:t>
      </w:r>
    </w:p>
    <w:p>
      <w:pPr>
        <w:pStyle w:val="ListBullet"/>
      </w:pPr>
      <w:r>
        <w:t>Consultations survive restarts and support multiple workers</w:t>
      </w:r>
    </w:p>
    <w:p>
      <w:pPr>
        <w:pStyle w:val="ListBullet"/>
      </w:pPr>
      <w:r>
        <w:t>Threshold changes can be evaluated by replaying history (enables calibration)</w:t>
      </w:r>
    </w:p>
    <w:p>
      <w:pPr>
        <w:pStyle w:val="ListBullet"/>
      </w:pPr>
      <w:r>
        <w:t>Per-event timestamps give think-time data we currently discard</w:t>
      </w:r>
    </w:p>
    <w:p>
      <w:pPr>
        <w:pStyle w:val="ListBullet"/>
      </w:pPr>
      <w:r>
        <w:t>Any published result traces to an immutable sequence</w:t>
      </w:r>
    </w:p>
    <w:p>
      <w:r>
        <w:t>− One extra table and a reconstruction function</w:t>
      </w:r>
    </w:p>
    <w:p>
      <w:r>
        <w:t>− Reconstruction cost per request (negligible at ~20 events)</w:t>
      </w:r>
    </w:p>
    <w:p/>
    <w:p>
      <w:pPr>
        <w:pStyle w:val="Heading1"/>
      </w:pPr>
      <w:r>
        <w:t>ADR-0004 · Rule-based bias detection, not machine learning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2026-08-22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Deciders</w:t>
            </w:r>
          </w:p>
        </w:tc>
        <w:tc>
          <w:tcPr>
            <w:tcW w:type="dxa" w:w="4320"/>
          </w:tcPr>
          <w:p>
            <w:r>
              <w:t>Vraj Patel, Yogesh Bagotia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Supersedes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>
      <w:pPr>
        <w:pStyle w:val="Heading2"/>
      </w:pPr>
      <w:r>
        <w:t>Context</w:t>
      </w:r>
    </w:p>
    <w:p>
      <w:r>
        <w:t>The three detectors must produce feedback a learner can act on. We have 16 real sessions — nowhere near enough to train a classifier. The detectors were validated at 94 % accuracy with 100 % sensitivity.</w:t>
      </w:r>
    </w:p>
    <w:p>
      <w:pPr>
        <w:pStyle w:val="Heading2"/>
      </w:pPr>
      <w:r>
        <w:t>Decision</w:t>
      </w:r>
    </w:p>
    <w:p>
      <w:r>
        <w:t>Detection stays rule-based and deterministic. Every flag returns a human-readable reason and the evidence that triggered it.</w:t>
      </w:r>
    </w:p>
    <w:p>
      <w:pPr>
        <w:pStyle w:val="Heading2"/>
      </w:pPr>
      <w:r>
        <w:t>Alternatives considered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rejected</w:t>
            </w:r>
          </w:p>
        </w:tc>
      </w:tr>
      <w:tr>
        <w:tc>
          <w:tcPr>
            <w:tcW w:type="dxa" w:w="4320"/>
          </w:tcPr>
          <w:p>
            <w:r>
              <w:t>Train a classifier on session features</w:t>
            </w:r>
          </w:p>
        </w:tc>
        <w:tc>
          <w:tcPr>
            <w:tcW w:type="dxa" w:w="4320"/>
          </w:tcPr>
          <w:p>
            <w:r>
              <w:t>No labelled corpus; 16 sessions is noise; destroys traceability.</w:t>
            </w:r>
          </w:p>
        </w:tc>
      </w:tr>
      <w:tr>
        <w:tc>
          <w:tcPr>
            <w:tcW w:type="dxa" w:w="4320"/>
          </w:tcPr>
          <w:p>
            <w:r>
              <w:t>LLM-as-judge for bias detection</w:t>
            </w:r>
          </w:p>
        </w:tc>
        <w:tc>
          <w:tcPr>
            <w:tcW w:type="dxa" w:w="4320"/>
          </w:tcPr>
          <w:p>
            <w:r>
              <w:t>Non-deterministic, unauditable, and would put the LLM in the marking path (ADR-0005).</w:t>
            </w:r>
          </w:p>
        </w:tc>
      </w:tr>
    </w:tbl>
    <w:p>
      <w:pPr>
        <w:pStyle w:val="Heading2"/>
      </w:pPr>
      <w:r>
        <w:t>Consequences</w:t>
      </w:r>
    </w:p>
    <w:p>
      <w:pPr>
        <w:pStyle w:val="ListBullet"/>
      </w:pPr>
      <w:r>
        <w:t>Every flag is explainable and contestable — the property that makes feedback teachable</w:t>
      </w:r>
    </w:p>
    <w:p>
      <w:pPr>
        <w:pStyle w:val="ListBullet"/>
      </w:pPr>
      <w:r>
        <w:t>Deterministic, so results are reproducible and verifiable</w:t>
      </w:r>
    </w:p>
    <w:p>
      <w:pPr>
        <w:pStyle w:val="ListBullet"/>
      </w:pPr>
      <w:r>
        <w:t>Fast (microseconds) and free</w:t>
      </w:r>
    </w:p>
    <w:p>
      <w:r>
        <w:t>− Bounded by lexical coverage; paraphrased questions are missed</w:t>
      </w:r>
    </w:p>
    <w:p>
      <w:r>
        <w:t>− Thresholds are heuristic, not calibrated (see ADR-0013)</w:t>
      </w:r>
    </w:p>
    <w:p>
      <w:r>
        <w:t>− Revisit only with 10³+ labelled sessions, and then as a comparator, not a replacement</w:t>
      </w:r>
    </w:p>
    <w:p/>
    <w:p>
      <w:pPr>
        <w:pStyle w:val="Heading1"/>
      </w:pPr>
      <w:r>
        <w:t>ADR-0005 · The LLM is excluded from the marking path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2026-08-22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Deciders</w:t>
            </w:r>
          </w:p>
        </w:tc>
        <w:tc>
          <w:tcPr>
            <w:tcW w:type="dxa" w:w="4320"/>
          </w:tcPr>
          <w:p>
            <w:r>
              <w:t>Vraj Patel, Yogesh Bagotia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Supersedes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>
      <w:pPr>
        <w:pStyle w:val="Heading2"/>
      </w:pPr>
      <w:r>
        <w:t>Context</w:t>
      </w:r>
    </w:p>
    <w:p>
      <w:r>
        <w:t>The system uses an LLM for the patient persona and for feedback prose. Assessment results must be reproducible for research credibility and for the data-integrity check.</w:t>
      </w:r>
    </w:p>
    <w:p>
      <w:pPr>
        <w:pStyle w:val="Heading2"/>
      </w:pPr>
      <w:r>
        <w:t>Decision</w:t>
      </w:r>
    </w:p>
    <w:p>
      <w:r>
        <w:t>The LLM generates text only. Every flag, score, coverage figure and verdict is computed by deterministic Python. No assessment decision is delegated to a model.</w:t>
      </w:r>
    </w:p>
    <w:p>
      <w:pPr>
        <w:pStyle w:val="Heading2"/>
      </w:pPr>
      <w:r>
        <w:t>Alternatives considered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rejected</w:t>
            </w:r>
          </w:p>
        </w:tc>
      </w:tr>
      <w:tr>
        <w:tc>
          <w:tcPr>
            <w:tcW w:type="dxa" w:w="4320"/>
          </w:tcPr>
          <w:p>
            <w:r>
              <w:t>LLM scores the consultation</w:t>
            </w:r>
          </w:p>
        </w:tc>
        <w:tc>
          <w:tcPr>
            <w:tcW w:type="dxa" w:w="4320"/>
          </w:tcPr>
          <w:p>
            <w:r>
              <w:t>Non-reproducible at temperature &gt; 0; unauditable; would have made the pilot integrity check impossible.</w:t>
            </w:r>
          </w:p>
        </w:tc>
      </w:tr>
      <w:tr>
        <w:tc>
          <w:tcPr>
            <w:tcW w:type="dxa" w:w="4320"/>
          </w:tcPr>
          <w:p>
            <w:r>
              <w:t>Hybrid — LLM adjusts rule output</w:t>
            </w:r>
          </w:p>
        </w:tc>
        <w:tc>
          <w:tcPr>
            <w:tcW w:type="dxa" w:w="4320"/>
          </w:tcPr>
          <w:p>
            <w:r>
              <w:t>Inherits the worst of both: non-determinism without interpretability.</w:t>
            </w:r>
          </w:p>
        </w:tc>
      </w:tr>
    </w:tbl>
    <w:p>
      <w:pPr>
        <w:pStyle w:val="Heading2"/>
      </w:pPr>
      <w:r>
        <w:t>Consequences</w:t>
      </w:r>
    </w:p>
    <w:p>
      <w:pPr>
        <w:pStyle w:val="ListBullet"/>
      </w:pPr>
      <w:r>
        <w:t>Recomputation from stored questions verifies data authenticity (used in the pilot)</w:t>
      </w:r>
    </w:p>
    <w:p>
      <w:pPr>
        <w:pStyle w:val="ListBullet"/>
      </w:pPr>
      <w:r>
        <w:t>Threshold replay is possible</w:t>
      </w:r>
    </w:p>
    <w:p>
      <w:pPr>
        <w:pStyle w:val="ListBullet"/>
      </w:pPr>
      <w:r>
        <w:t>Assessment latency is sub-millisecond and free</w:t>
      </w:r>
    </w:p>
    <w:p>
      <w:pPr>
        <w:pStyle w:val="ListBullet"/>
      </w:pPr>
      <w:r>
        <w:t>Removes an entire class of prompt-injection attack on grading</w:t>
      </w:r>
    </w:p>
    <w:p>
      <w:r>
        <w:t>− Assessment quality is bounded by rule quality</w:t>
      </w:r>
    </w:p>
    <w:p/>
    <w:p>
      <w:pPr>
        <w:pStyle w:val="Heading1"/>
      </w:pPr>
      <w:r>
        <w:t>ADR-0006 · Next.js for the consumer app, Jinja + HTMX for admin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2026-08-22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Deciders</w:t>
            </w:r>
          </w:p>
        </w:tc>
        <w:tc>
          <w:tcPr>
            <w:tcW w:type="dxa" w:w="4320"/>
          </w:tcPr>
          <w:p>
            <w:r>
              <w:t>Vraj Patel, Yogesh Bagotia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Supersedes</w:t>
            </w:r>
          </w:p>
        </w:tc>
        <w:tc>
          <w:tcPr>
            <w:tcW w:type="dxa" w:w="4320"/>
          </w:tcPr>
          <w:p>
            <w:r>
              <w:t>reverses an earlier Jinja-only recommendation</w:t>
            </w:r>
          </w:p>
        </w:tc>
      </w:tr>
    </w:tbl>
    <w:p>
      <w:pPr>
        <w:pStyle w:val="Heading2"/>
      </w:pPr>
      <w:r>
        <w:t>Context</w:t>
      </w:r>
    </w:p>
    <w:p>
      <w:r>
        <w:t>The original recommendation was server-rendered Jinja + HTMX throughout, on the assumption that no mobile app meant no API was needed. The product now targets native apps, which require a JSON API. React Native shares concepts and code with React; Jinja templates share nothing with a mobile app.</w:t>
      </w:r>
    </w:p>
    <w:p>
      <w:pPr>
        <w:pStyle w:val="Heading2"/>
      </w:pPr>
      <w:r>
        <w:t>Decision</w:t>
      </w:r>
    </w:p>
    <w:p>
      <w:r>
        <w:t>Consumer web app in Next.js + TypeScript. Mobile in React Native + Expo, reusing the API client. Admin console stays Jinja + HTMX.</w:t>
      </w:r>
    </w:p>
    <w:p>
      <w:pPr>
        <w:pStyle w:val="Heading2"/>
      </w:pPr>
      <w:r>
        <w:t>Alternatives considered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rejected</w:t>
            </w:r>
          </w:p>
        </w:tc>
      </w:tr>
      <w:tr>
        <w:tc>
          <w:tcPr>
            <w:tcW w:type="dxa" w:w="4320"/>
          </w:tcPr>
          <w:p>
            <w:r>
              <w:t>Jinja + HTMX everywhere</w:t>
            </w:r>
          </w:p>
        </w:tc>
        <w:tc>
          <w:tcPr>
            <w:tcW w:type="dxa" w:w="4320"/>
          </w:tcPr>
          <w:p>
            <w:r>
              <w:t>Means writing the frontend twice once mobile arrives (~22–31 days of migration).</w:t>
            </w:r>
          </w:p>
        </w:tc>
      </w:tr>
      <w:tr>
        <w:tc>
          <w:tcPr>
            <w:tcW w:type="dxa" w:w="4320"/>
          </w:tcPr>
          <w:p>
            <w:r>
              <w:t>Next.js everywhere including admin</w:t>
            </w:r>
          </w:p>
        </w:tc>
        <w:tc>
          <w:tcPr>
            <w:tcW w:type="dxa" w:w="4320"/>
          </w:tcPr>
          <w:p>
            <w:r>
              <w:t>Admin is internal, form-heavy, low-traffic — server rendering genuinely wins there, and it does not block API work.</w:t>
            </w:r>
          </w:p>
        </w:tc>
      </w:tr>
      <w:tr>
        <w:tc>
          <w:tcPr>
            <w:tcW w:type="dxa" w:w="4320"/>
          </w:tcPr>
          <w:p>
            <w:r>
              <w:t>Vue / Svelte</w:t>
            </w:r>
          </w:p>
        </w:tc>
        <w:tc>
          <w:tcPr>
            <w:tcW w:type="dxa" w:w="4320"/>
          </w:tcPr>
          <w:p>
            <w:r>
              <w:t>No React Native equivalent with comparable maturity.</w:t>
            </w:r>
          </w:p>
        </w:tc>
      </w:tr>
    </w:tbl>
    <w:p>
      <w:pPr>
        <w:pStyle w:val="Heading2"/>
      </w:pPr>
      <w:r>
        <w:t>Consequences</w:t>
      </w:r>
    </w:p>
    <w:p>
      <w:pPr>
        <w:pStyle w:val="ListBullet"/>
      </w:pPr>
      <w:r>
        <w:t>The API is built once and serves web, mobile, and any future client</w:t>
      </w:r>
    </w:p>
    <w:p>
      <w:pPr>
        <w:pStyle w:val="ListBullet"/>
      </w:pPr>
      <w:r>
        <w:t>React knowledge transfers to React Native</w:t>
      </w:r>
    </w:p>
    <w:p>
      <w:pPr>
        <w:pStyle w:val="ListBullet"/>
      </w:pPr>
      <w:r>
        <w:t>Admin console can be built in parallel without blocking API work</w:t>
      </w:r>
    </w:p>
    <w:p>
      <w:r>
        <w:t>− ~8–10 extra days of initial effort versus Jinja-only</w:t>
      </w:r>
    </w:p>
    <w:p>
      <w:r>
        <w:t>− JavaScript dependency churn is a real ongoing cost; mitigate by keeping dependencies minimal</w:t>
      </w:r>
    </w:p>
    <w:p/>
    <w:p>
      <w:pPr>
        <w:pStyle w:val="Heading1"/>
      </w:pPr>
      <w:r>
        <w:t>ADR-0007 · Retain Flask; do not migrate to FastAPI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2026-08-22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Deciders</w:t>
            </w:r>
          </w:p>
        </w:tc>
        <w:tc>
          <w:tcPr>
            <w:tcW w:type="dxa" w:w="4320"/>
          </w:tcPr>
          <w:p>
            <w:r>
              <w:t>Vraj Patel, Yogesh Bagotia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Supersedes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>
      <w:pPr>
        <w:pStyle w:val="Heading2"/>
      </w:pPr>
      <w:r>
        <w:t>Context</w:t>
      </w:r>
    </w:p>
    <w:p>
      <w:r>
        <w:t>The existing backend is Flask and works. The team knows it. FastAPI offers native async, automatic OpenAPI, and Pydantic integration.</w:t>
      </w:r>
    </w:p>
    <w:p>
      <w:pPr>
        <w:pStyle w:val="Heading2"/>
      </w:pPr>
      <w:r>
        <w:t>Decision</w:t>
      </w:r>
    </w:p>
    <w:p>
      <w:r>
        <w:t xml:space="preserve">Stay on Flask. Add </w:t>
      </w:r>
      <w:r>
        <w:rPr>
          <w:rFonts w:ascii="Consolas" w:hAnsi="Consolas"/>
          <w:sz w:val="19"/>
        </w:rPr>
        <w:t>apiflask</w:t>
      </w:r>
      <w:r>
        <w:t xml:space="preserve"> or </w:t>
      </w:r>
      <w:r>
        <w:rPr>
          <w:rFonts w:ascii="Consolas" w:hAnsi="Consolas"/>
          <w:sz w:val="19"/>
        </w:rPr>
        <w:t>flask-pydantic</w:t>
      </w:r>
      <w:r>
        <w:t xml:space="preserve"> for typed request/response schemas and generated OpenAPI documentation.</w:t>
      </w:r>
    </w:p>
    <w:p>
      <w:pPr>
        <w:pStyle w:val="Heading2"/>
      </w:pPr>
      <w:r>
        <w:t>Alternatives considered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rejected</w:t>
            </w:r>
          </w:p>
        </w:tc>
      </w:tr>
      <w:tr>
        <w:tc>
          <w:tcPr>
            <w:tcW w:type="dxa" w:w="4320"/>
          </w:tcPr>
          <w:p>
            <w:r>
              <w:t>Migrate to FastAPI</w:t>
            </w:r>
          </w:p>
        </w:tc>
        <w:tc>
          <w:tcPr>
            <w:tcW w:type="dxa" w:w="4320"/>
          </w:tcPr>
          <w:p>
            <w:r>
              <w:t>A rewrite of the HTTP layer for benefits largely obtainable by adding a library — while simultaneously adding a database and a new frontend. Three destabilising changes at once.</w:t>
            </w:r>
          </w:p>
        </w:tc>
      </w:tr>
    </w:tbl>
    <w:p>
      <w:pPr>
        <w:pStyle w:val="Heading2"/>
      </w:pPr>
      <w:r>
        <w:t>Consequences</w:t>
      </w:r>
    </w:p>
    <w:p>
      <w:pPr>
        <w:pStyle w:val="ListBullet"/>
      </w:pPr>
      <w:r>
        <w:t>Zero migration cost; existing routes and tests keep working</w:t>
      </w:r>
    </w:p>
    <w:p>
      <w:pPr>
        <w:pStyle w:val="ListBullet"/>
      </w:pPr>
      <w:r>
        <w:t>Typed schemas and OpenAPI obtained via library</w:t>
      </w:r>
    </w:p>
    <w:p>
      <w:r>
        <w:t>− No native async; concurrent LLM calls handled with threads</w:t>
      </w:r>
    </w:p>
    <w:p>
      <w:r>
        <w:t>− Revisit only if async concurrency becomes a measured bottleneck</w:t>
      </w:r>
    </w:p>
    <w:p/>
    <w:p>
      <w:pPr>
        <w:pStyle w:val="Heading1"/>
      </w:pPr>
      <w:r>
        <w:t>ADR-0008 · Deploy to Render (or Railway), not Vercel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2026-08-22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Deciders</w:t>
            </w:r>
          </w:p>
        </w:tc>
        <w:tc>
          <w:tcPr>
            <w:tcW w:type="dxa" w:w="4320"/>
          </w:tcPr>
          <w:p>
            <w:r>
              <w:t>Vraj Patel, Yogesh Bagotia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Supersedes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>
      <w:pPr>
        <w:pStyle w:val="Heading2"/>
      </w:pPr>
      <w:r>
        <w:t>Context</w:t>
      </w:r>
    </w:p>
    <w:p>
      <w:r>
        <w:t>The brief proposed Vercel. Vercel runs Python as serverless functions with execution-time caps and cold starts. Our app is a persistent server-rendered Python service that loads an embedding model and makes multi-second LLM calls with retries.</w:t>
      </w:r>
    </w:p>
    <w:p>
      <w:pPr>
        <w:pStyle w:val="Heading2"/>
      </w:pPr>
      <w:r>
        <w:t>Decision</w:t>
      </w:r>
    </w:p>
    <w:p>
      <w:r>
        <w:t>Deploy as a Docker web service on Render (Railway equivalent). Managed Postgres via Supabase. Revisit Vercel only if the frontend is split out as a standalone Next.js deployment.</w:t>
      </w:r>
    </w:p>
    <w:p>
      <w:pPr>
        <w:pStyle w:val="Heading2"/>
      </w:pPr>
      <w:r>
        <w:t>Alternatives considered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rejected</w:t>
            </w:r>
          </w:p>
        </w:tc>
      </w:tr>
      <w:tr>
        <w:tc>
          <w:tcPr>
            <w:tcW w:type="dxa" w:w="4320"/>
          </w:tcPr>
          <w:p>
            <w:r>
              <w:t>Vercel</w:t>
            </w:r>
          </w:p>
        </w:tc>
        <w:tc>
          <w:tcPr>
            <w:tcW w:type="dxa" w:w="4320"/>
          </w:tcPr>
          <w:p>
            <w:r>
              <w:t>Serverless model conflicts with persistent process, embedding-model load time, and long LLM calls.</w:t>
            </w:r>
          </w:p>
        </w:tc>
      </w:tr>
      <w:tr>
        <w:tc>
          <w:tcPr>
            <w:tcW w:type="dxa" w:w="4320"/>
          </w:tcPr>
          <w:p>
            <w:r>
              <w:t>AWS / GCP / Azure directly</w:t>
            </w:r>
          </w:p>
        </w:tc>
        <w:tc>
          <w:tcPr>
            <w:tcW w:type="dxa" w:w="4320"/>
          </w:tcPr>
          <w:p>
            <w:r>
              <w:t>Construction kits; unnecessary operational surface for one service and one database at this stage.</w:t>
            </w:r>
          </w:p>
        </w:tc>
      </w:tr>
      <w:tr>
        <w:tc>
          <w:tcPr>
            <w:tcW w:type="dxa" w:w="4320"/>
          </w:tcPr>
          <w:p>
            <w:r>
              <w:t>Self-hosted VPS</w:t>
            </w:r>
          </w:p>
        </w:tc>
        <w:tc>
          <w:tcPr>
            <w:tcW w:type="dxa" w:w="4320"/>
          </w:tcPr>
          <w:p>
            <w:r>
              <w:t>No ops owner.</w:t>
            </w:r>
          </w:p>
        </w:tc>
      </w:tr>
    </w:tbl>
    <w:p>
      <w:pPr>
        <w:pStyle w:val="Heading2"/>
      </w:pPr>
      <w:r>
        <w:t>Consequences</w:t>
      </w:r>
    </w:p>
    <w:p>
      <w:pPr>
        <w:pStyle w:val="ListBullet"/>
      </w:pPr>
      <w:r>
        <w:t>Docker-native deploys, persistent processes, cron for the Case Factory</w:t>
      </w:r>
    </w:p>
    <w:p>
      <w:pPr>
        <w:pStyle w:val="ListBullet"/>
      </w:pPr>
      <w:r>
        <w:t>Free tier adequate for pilot; ~$25/month at early launch</w:t>
      </w:r>
    </w:p>
    <w:p>
      <w:pPr>
        <w:pStyle w:val="ListBullet"/>
      </w:pPr>
      <w:r>
        <w:t>Containerisation keeps migration cost low if we outgrow it</w:t>
      </w:r>
    </w:p>
    <w:p>
      <w:r>
        <w:t>− Less control than a hyperscaler</w:t>
      </w:r>
    </w:p>
    <w:p>
      <w:r>
        <w:t>− Move to GCP Cloud Run when the bill passes roughly $500/month or a structural need appears</w:t>
      </w:r>
    </w:p>
    <w:p/>
    <w:p>
      <w:pPr>
        <w:pStyle w:val="Heading1"/>
      </w:pPr>
      <w:r>
        <w:t>ADR-0009 · Modular monolith, not microservices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2026-08-22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Deciders</w:t>
            </w:r>
          </w:p>
        </w:tc>
        <w:tc>
          <w:tcPr>
            <w:tcW w:type="dxa" w:w="4320"/>
          </w:tcPr>
          <w:p>
            <w:r>
              <w:t>Vraj Patel, Yogesh Bagotia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Supersedes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>
      <w:pPr>
        <w:pStyle w:val="Heading2"/>
      </w:pPr>
      <w:r>
        <w:t>Context</w:t>
      </w:r>
    </w:p>
    <w:p>
      <w:r>
        <w:t>The system has a web app, an assessment engine, an LLM gateway, and an offline Case Factory. Two developers, no dedicated ops.</w:t>
      </w:r>
    </w:p>
    <w:p>
      <w:pPr>
        <w:pStyle w:val="Heading2"/>
      </w:pPr>
      <w:r>
        <w:t>Decision</w:t>
      </w:r>
    </w:p>
    <w:p>
      <w:r>
        <w:t xml:space="preserve">Single deployable application with enforced internal layering: </w:t>
      </w:r>
      <w:r>
        <w:rPr>
          <w:rFonts w:ascii="Consolas" w:hAnsi="Consolas"/>
          <w:sz w:val="19"/>
        </w:rPr>
        <w:t>domain/</w:t>
      </w:r>
      <w:r>
        <w:t xml:space="preserve"> must not import </w:t>
      </w:r>
      <w:r>
        <w:rPr>
          <w:rFonts w:ascii="Consolas" w:hAnsi="Consolas"/>
          <w:sz w:val="19"/>
        </w:rPr>
        <w:t>infra/</w:t>
      </w:r>
      <w:r>
        <w:t>, checked by import-linter in CI. The Case Factory runs as a separate process because it is a batch job, not because it is a separate service.</w:t>
      </w:r>
    </w:p>
    <w:p>
      <w:pPr>
        <w:pStyle w:val="Heading2"/>
      </w:pPr>
      <w:r>
        <w:t>Alternatives considered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rejected</w:t>
            </w:r>
          </w:p>
        </w:tc>
      </w:tr>
      <w:tr>
        <w:tc>
          <w:tcPr>
            <w:tcW w:type="dxa" w:w="4320"/>
          </w:tcPr>
          <w:p>
            <w:r>
              <w:t>Microservices</w:t>
            </w:r>
          </w:p>
        </w:tc>
        <w:tc>
          <w:tcPr>
            <w:tcW w:type="dxa" w:w="4320"/>
          </w:tcPr>
          <w:p>
            <w:r>
              <w:t>Distributed transactions and network failure modes for a workload that fits on one small instance.</w:t>
            </w:r>
          </w:p>
        </w:tc>
      </w:tr>
      <w:tr>
        <w:tc>
          <w:tcPr>
            <w:tcW w:type="dxa" w:w="4320"/>
          </w:tcPr>
          <w:p>
            <w:r>
              <w:t>Unstructured monolith</w:t>
            </w:r>
          </w:p>
        </w:tc>
        <w:tc>
          <w:tcPr>
            <w:tcW w:type="dxa" w:w="4320"/>
          </w:tcPr>
          <w:p>
            <w:r>
              <w:t>The current state; assessment logic is not independently testable.</w:t>
            </w:r>
          </w:p>
        </w:tc>
      </w:tr>
    </w:tbl>
    <w:p>
      <w:pPr>
        <w:pStyle w:val="Heading2"/>
      </w:pPr>
      <w:r>
        <w:t>Consequences</w:t>
      </w:r>
    </w:p>
    <w:p>
      <w:pPr>
        <w:pStyle w:val="ListBullet"/>
      </w:pPr>
      <w:r>
        <w:t>Separation of concerns without network boundaries</w:t>
      </w:r>
    </w:p>
    <w:p>
      <w:pPr>
        <w:pStyle w:val="ListBullet"/>
      </w:pPr>
      <w:r>
        <w:t>Domain layer unit-testable with no database</w:t>
      </w:r>
    </w:p>
    <w:p>
      <w:pPr>
        <w:pStyle w:val="ListBullet"/>
      </w:pPr>
      <w:r>
        <w:t>One thing to deploy, monitor, and debug</w:t>
      </w:r>
    </w:p>
    <w:p>
      <w:r>
        <w:t>− Requires discipline to maintain the import boundary (automated in CI)</w:t>
      </w:r>
    </w:p>
    <w:p/>
    <w:p>
      <w:pPr>
        <w:pStyle w:val="Heading1"/>
      </w:pPr>
      <w:r>
        <w:t>ADR-0010 · Cases are immutable and versioned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2026-08-22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Deciders</w:t>
            </w:r>
          </w:p>
        </w:tc>
        <w:tc>
          <w:tcPr>
            <w:tcW w:type="dxa" w:w="4320"/>
          </w:tcPr>
          <w:p>
            <w:r>
              <w:t>Vraj Patel, Yogesh Bagotia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Supersedes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>
      <w:pPr>
        <w:pStyle w:val="Heading2"/>
      </w:pPr>
      <w:r>
        <w:t>Context</w:t>
      </w:r>
    </w:p>
    <w:p>
      <w:r>
        <w:t>A session's results are only interpretable in the context of the exact case content the learner saw. Editing a published case would silently invalidate historical data.</w:t>
      </w:r>
    </w:p>
    <w:p>
      <w:pPr>
        <w:pStyle w:val="Heading2"/>
      </w:pPr>
      <w:r>
        <w:t>Decision</w:t>
      </w:r>
    </w:p>
    <w:p>
      <w:r>
        <w:rPr>
          <w:rFonts w:ascii="Consolas" w:hAnsi="Consolas"/>
          <w:sz w:val="19"/>
        </w:rPr>
        <w:t>cases</w:t>
      </w:r>
      <w:r>
        <w:t xml:space="preserve"> holds identity; </w:t>
      </w:r>
      <w:r>
        <w:rPr>
          <w:rFonts w:ascii="Consolas" w:hAnsi="Consolas"/>
          <w:sz w:val="19"/>
        </w:rPr>
        <w:t>case_versions</w:t>
      </w:r>
      <w:r>
        <w:t xml:space="preserve"> holds immutable content. Sessions reference </w:t>
      </w:r>
      <w:r>
        <w:rPr>
          <w:rFonts w:ascii="Consolas" w:hAnsi="Consolas"/>
          <w:sz w:val="19"/>
        </w:rPr>
        <w:t>case_version_id</w:t>
      </w:r>
      <w:r>
        <w:t xml:space="preserve">, never </w:t>
      </w:r>
      <w:r>
        <w:rPr>
          <w:rFonts w:ascii="Consolas" w:hAnsi="Consolas"/>
          <w:sz w:val="19"/>
        </w:rPr>
        <w:t>case_id</w:t>
      </w:r>
      <w:r>
        <w:t>. Editing a published case creates a new draft version.</w:t>
      </w:r>
    </w:p>
    <w:p>
      <w:pPr>
        <w:pStyle w:val="Heading2"/>
      </w:pPr>
      <w:r>
        <w:t>Alternatives considered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rejected</w:t>
            </w:r>
          </w:p>
        </w:tc>
      </w:tr>
      <w:tr>
        <w:tc>
          <w:tcPr>
            <w:tcW w:type="dxa" w:w="4320"/>
          </w:tcPr>
          <w:p>
            <w:r>
              <w:t>Mutable case rows</w:t>
            </w:r>
          </w:p>
        </w:tc>
        <w:tc>
          <w:tcPr>
            <w:tcW w:type="dxa" w:w="4320"/>
          </w:tcPr>
          <w:p>
            <w:r>
              <w:t>Historical results become uninterpretable after any edit.</w:t>
            </w:r>
          </w:p>
        </w:tc>
      </w:tr>
      <w:tr>
        <w:tc>
          <w:tcPr>
            <w:tcW w:type="dxa" w:w="4320"/>
          </w:tcPr>
          <w:p>
            <w:r>
              <w:t>Full-database snapshots</w:t>
            </w:r>
          </w:p>
        </w:tc>
        <w:tc>
          <w:tcPr>
            <w:tcW w:type="dxa" w:w="4320"/>
          </w:tcPr>
          <w:p>
            <w:r>
              <w:t>Heavy and does not localise the problem.</w:t>
            </w:r>
          </w:p>
        </w:tc>
      </w:tr>
    </w:tbl>
    <w:p>
      <w:pPr>
        <w:pStyle w:val="Heading2"/>
      </w:pPr>
      <w:r>
        <w:t>Consequences</w:t>
      </w:r>
    </w:p>
    <w:p>
      <w:pPr>
        <w:pStyle w:val="ListBullet"/>
      </w:pPr>
      <w:r>
        <w:t>Historical results remain valid indefinitely</w:t>
      </w:r>
    </w:p>
    <w:p>
      <w:pPr>
        <w:pStyle w:val="ListBullet"/>
      </w:pPr>
      <w:r>
        <w:t>Clinical review attaches to a specific, frozen version</w:t>
      </w:r>
    </w:p>
    <w:p>
      <w:pPr>
        <w:pStyle w:val="ListBullet"/>
      </w:pPr>
      <w:r>
        <w:t>Enables safe A/B testing of case variants</w:t>
      </w:r>
    </w:p>
    <w:p>
      <w:r>
        <w:t>− More rows and a slightly more complex publish flow</w:t>
      </w:r>
    </w:p>
    <w:p/>
    <w:p>
      <w:pPr>
        <w:pStyle w:val="Heading1"/>
      </w:pPr>
      <w:r>
        <w:t>ADR-0011 · Per-job LLM routing rather than one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2026-08-22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Deciders</w:t>
            </w:r>
          </w:p>
        </w:tc>
        <w:tc>
          <w:tcPr>
            <w:tcW w:type="dxa" w:w="4320"/>
          </w:tcPr>
          <w:p>
            <w:r>
              <w:t>Vraj Patel, Yogesh Bagotia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Supersedes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>
      <w:pPr>
        <w:pStyle w:val="Heading2"/>
      </w:pPr>
      <w:r>
        <w:t>Context</w:t>
      </w:r>
    </w:p>
    <w:p>
      <w:r>
        <w:t>The system makes model calls for five purposes — patient roleplay, feedback, case extraction, quality judging, grounding — with materially different requirements for latency, cost, and capability.</w:t>
      </w:r>
    </w:p>
    <w:p>
      <w:pPr>
        <w:pStyle w:val="Heading2"/>
      </w:pPr>
      <w:r>
        <w:t>Decision</w:t>
      </w:r>
    </w:p>
    <w:p>
      <w:r>
        <w:t xml:space="preserve">Route each purpose to an appropriate model through a single gateway abstraction. Cheap and fast for the high-volume patient turn; stronger models for the once-per-session feedback and for offline Case Factory work. The Factory's judge must be a </w:t>
      </w:r>
      <w:r>
        <w:rPr>
          <w:i/>
        </w:rPr>
        <w:t>different</w:t>
      </w:r>
      <w:r>
        <w:t xml:space="preserve"> model from its extractor.</w:t>
      </w:r>
    </w:p>
    <w:p>
      <w:pPr>
        <w:pStyle w:val="Heading2"/>
      </w:pPr>
      <w:r>
        <w:t>Alternatives considered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rejected</w:t>
            </w:r>
          </w:p>
        </w:tc>
      </w:tr>
      <w:tr>
        <w:tc>
          <w:tcPr>
            <w:tcW w:type="dxa" w:w="4320"/>
          </w:tcPr>
          <w:p>
            <w:r>
              <w:t>One model for everything</w:t>
            </w:r>
          </w:p>
        </w:tc>
        <w:tc>
          <w:tcPr>
            <w:tcW w:type="dxa" w:w="4320"/>
          </w:tcPr>
          <w:p>
            <w:r>
              <w:t>Either overpays on the high-volume path or under-delivers on structured extraction.</w:t>
            </w:r>
          </w:p>
        </w:tc>
      </w:tr>
      <w:tr>
        <w:tc>
          <w:tcPr>
            <w:tcW w:type="dxa" w:w="4320"/>
          </w:tcPr>
          <w:p>
            <w:r>
              <w:t>Same model extracts and judges</w:t>
            </w:r>
          </w:p>
        </w:tc>
        <w:tc>
          <w:tcPr>
            <w:tcW w:type="dxa" w:w="4320"/>
          </w:tcPr>
          <w:p>
            <w:r>
              <w:t>Correlated errors; a model does not catch its own blind spots.</w:t>
            </w:r>
          </w:p>
        </w:tc>
      </w:tr>
    </w:tbl>
    <w:p>
      <w:pPr>
        <w:pStyle w:val="Heading2"/>
      </w:pPr>
      <w:r>
        <w:t>Consequences</w:t>
      </w:r>
    </w:p>
    <w:p>
      <w:pPr>
        <w:pStyle w:val="ListBullet"/>
      </w:pPr>
      <w:r>
        <w:t>Cost optimised where volume is high, quality where it is visible</w:t>
      </w:r>
    </w:p>
    <w:p>
      <w:pPr>
        <w:pStyle w:val="ListBullet"/>
      </w:pPr>
      <w:r>
        <w:t>Provider switching is a configuration change</w:t>
      </w:r>
    </w:p>
    <w:p>
      <w:pPr>
        <w:pStyle w:val="ListBullet"/>
      </w:pPr>
      <w:r>
        <w:t>Decorrelated errors in the Factory QA gate</w:t>
      </w:r>
    </w:p>
    <w:p>
      <w:r>
        <w:t>− More configuration surface</w:t>
      </w:r>
    </w:p>
    <w:p>
      <w:r>
        <w:t>− Requires per-purpose cost accounting</w:t>
      </w:r>
    </w:p>
    <w:p/>
    <w:p>
      <w:pPr>
        <w:pStyle w:val="Heading1"/>
      </w:pPr>
      <w:r>
        <w:t>ADR-0012 · Natural Language Inference for grounding, not an LLM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2026-08-22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Deciders</w:t>
            </w:r>
          </w:p>
        </w:tc>
        <w:tc>
          <w:tcPr>
            <w:tcW w:type="dxa" w:w="4320"/>
          </w:tcPr>
          <w:p>
            <w:r>
              <w:t>Vraj Patel, Yogesh Bagotia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Supersedes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>
      <w:pPr>
        <w:pStyle w:val="Heading2"/>
      </w:pPr>
      <w:r>
        <w:t>Context</w:t>
      </w:r>
    </w:p>
    <w:p>
      <w:r>
        <w:t>The Case Factory must verify that every generated clinical fact is supported by its source record. This is textual entailment — a well-defined classification task with purpose-built models.</w:t>
      </w:r>
    </w:p>
    <w:p>
      <w:pPr>
        <w:pStyle w:val="Heading2"/>
      </w:pPr>
      <w:r>
        <w:t>Decision</w:t>
      </w:r>
    </w:p>
    <w:p>
      <w:r>
        <w:t>Use a DeBERTa-class NLI model for the grounding check, escalating to an LLM only for cases the NLI model marks uncertain.</w:t>
      </w:r>
    </w:p>
    <w:p>
      <w:pPr>
        <w:pStyle w:val="Heading2"/>
      </w:pPr>
      <w:r>
        <w:t>Alternatives considered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rejected</w:t>
            </w:r>
          </w:p>
        </w:tc>
      </w:tr>
      <w:tr>
        <w:tc>
          <w:tcPr>
            <w:tcW w:type="dxa" w:w="4320"/>
          </w:tcPr>
          <w:p>
            <w:r>
              <w:t>LLM for every grounding check</w:t>
            </w:r>
          </w:p>
        </w:tc>
        <w:tc>
          <w:tcPr>
            <w:tcW w:type="dxa" w:w="4320"/>
          </w:tcPr>
          <w:p>
            <w:r>
              <w:t>Slower, more expensive, and non-deterministic for a task that is fundamentally classification.</w:t>
            </w:r>
          </w:p>
        </w:tc>
      </w:tr>
      <w:tr>
        <w:tc>
          <w:tcPr>
            <w:tcW w:type="dxa" w:w="4320"/>
          </w:tcPr>
          <w:p>
            <w:r>
              <w:t>String matching only</w:t>
            </w:r>
          </w:p>
        </w:tc>
        <w:tc>
          <w:tcPr>
            <w:tcW w:type="dxa" w:w="4320"/>
          </w:tcPr>
          <w:p>
            <w:r>
              <w:t>Misses paraphrase; too brittle.</w:t>
            </w:r>
          </w:p>
        </w:tc>
      </w:tr>
    </w:tbl>
    <w:p>
      <w:pPr>
        <w:pStyle w:val="Heading2"/>
      </w:pPr>
      <w:r>
        <w:t>Consequences</w:t>
      </w:r>
    </w:p>
    <w:p>
      <w:pPr>
        <w:pStyle w:val="ListBullet"/>
      </w:pPr>
      <w:r>
        <w:t>Deterministic and auditable</w:t>
      </w:r>
    </w:p>
    <w:p>
      <w:pPr>
        <w:pStyle w:val="ListBullet"/>
      </w:pPr>
      <w:r>
        <w:t>Runs on CPU at no per-call cost</w:t>
      </w:r>
    </w:p>
    <w:p>
      <w:pPr>
        <w:pStyle w:val="ListBullet"/>
      </w:pPr>
      <w:r>
        <w:t>More appropriate to the task than open-ended generation</w:t>
      </w:r>
    </w:p>
    <w:p>
      <w:r>
        <w:t>− One more model artefact to version</w:t>
      </w:r>
    </w:p>
    <w:p>
      <w:r>
        <w:t>− Requires a confidence threshold for escalation</w:t>
      </w:r>
    </w:p>
    <w:p/>
    <w:p>
      <w:pPr>
        <w:pStyle w:val="Heading1"/>
      </w:pPr>
      <w:r>
        <w:t>ADR-0013 · Prebuilt embeddings first; fine-tune later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2026-08-22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Deciders</w:t>
            </w:r>
          </w:p>
        </w:tc>
        <w:tc>
          <w:tcPr>
            <w:tcW w:type="dxa" w:w="4320"/>
          </w:tcPr>
          <w:p>
            <w:r>
              <w:t>Vraj Patel, Yogesh Bagotia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Supersedes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>
      <w:pPr>
        <w:pStyle w:val="Heading2"/>
      </w:pPr>
      <w:r>
        <w:t>Context</w:t>
      </w:r>
    </w:p>
    <w:p>
      <w:r>
        <w:t>Keyword matching caused every detector error observed in validation. Semantic matching would fix it. Training an embedding model from scratch is not viable; fine-tuning requires labelled pairs we do not yet have.</w:t>
      </w:r>
    </w:p>
    <w:p>
      <w:pPr>
        <w:pStyle w:val="Heading2"/>
      </w:pPr>
      <w:r>
        <w:t>Decision</w:t>
      </w:r>
    </w:p>
    <w:p>
      <w:r>
        <w:t>Ship with a prebuilt sentence-transformer in a hybrid keyword-plus-embedding matcher. Collect labelled pairs through an admin review queue. Fine-tune once ~2 000 pairs exist, and only ship the fine-tuned model if it beats the baseline on a held-out set.</w:t>
      </w:r>
    </w:p>
    <w:p>
      <w:pPr>
        <w:pStyle w:val="Heading2"/>
      </w:pPr>
      <w:r>
        <w:t>Alternatives considered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rejected</w:t>
            </w:r>
          </w:p>
        </w:tc>
      </w:tr>
      <w:tr>
        <w:tc>
          <w:tcPr>
            <w:tcW w:type="dxa" w:w="4320"/>
          </w:tcPr>
          <w:p>
            <w:r>
              <w:t>Train from scratch</w:t>
            </w:r>
          </w:p>
        </w:tc>
        <w:tc>
          <w:tcPr>
            <w:tcW w:type="dxa" w:w="4320"/>
          </w:tcPr>
          <w:p>
            <w:r>
              <w:t>Millions of pairs, multi-GPU weeks — not viable for this team, and unnecessary.</w:t>
            </w:r>
          </w:p>
        </w:tc>
      </w:tr>
      <w:tr>
        <w:tc>
          <w:tcPr>
            <w:tcW w:type="dxa" w:w="4320"/>
          </w:tcPr>
          <w:p>
            <w:r>
              <w:t>Fine-tune immediately</w:t>
            </w:r>
          </w:p>
        </w:tc>
        <w:tc>
          <w:tcPr>
            <w:tcW w:type="dxa" w:w="4320"/>
          </w:tcPr>
          <w:p>
            <w:r>
              <w:t>Would overfit on a few hundred hand-made pairs and perform worse than the baseline.</w:t>
            </w:r>
          </w:p>
        </w:tc>
      </w:tr>
      <w:tr>
        <w:tc>
          <w:tcPr>
            <w:tcW w:type="dxa" w:w="4320"/>
          </w:tcPr>
          <w:p>
            <w:r>
              <w:t>API embeddings</w:t>
            </w:r>
          </w:p>
        </w:tc>
        <w:tc>
          <w:tcPr>
            <w:tcW w:type="dxa" w:w="4320"/>
          </w:tcPr>
          <w:p>
            <w:r>
              <w:t>Adds latency, cost, and an external dependency to every question.</w:t>
            </w:r>
          </w:p>
        </w:tc>
      </w:tr>
    </w:tbl>
    <w:p>
      <w:pPr>
        <w:pStyle w:val="Heading2"/>
      </w:pPr>
      <w:r>
        <w:t>Consequences</w:t>
      </w:r>
    </w:p>
    <w:p>
      <w:pPr>
        <w:pStyle w:val="ListBullet"/>
      </w:pPr>
      <w:r>
        <w:t>Ships now at zero cost, on CPU, with data never leaving the server</w:t>
      </w:r>
    </w:p>
    <w:p>
      <w:pPr>
        <w:pStyle w:val="ListBullet"/>
      </w:pPr>
      <w:r>
        <w:t>Creates the labelled corpus as a by-product of normal operation</w:t>
      </w:r>
    </w:p>
    <w:p>
      <w:pPr>
        <w:pStyle w:val="ListBullet"/>
      </w:pPr>
      <w:r>
        <w:t>Fine-tuning later is a contained, measurable change</w:t>
      </w:r>
    </w:p>
    <w:p>
      <w:r>
        <w:t xml:space="preserve">− Encoder version becomes part of </w:t>
      </w:r>
      <w:r>
        <w:rPr>
          <w:rFonts w:ascii="Consolas" w:hAnsi="Consolas"/>
          <w:sz w:val="19"/>
        </w:rPr>
        <w:t>engine_version</w:t>
      </w:r>
      <w:r>
        <w:t>; changing it requires replay</w:t>
      </w:r>
    </w:p>
    <w:p/>
    <w:p>
      <w:pPr>
        <w:pStyle w:val="Heading1"/>
      </w:pPr>
      <w:r>
        <w:t>ADR-0014 · No case retirement policy; use variants instead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2026-08-22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Deciders</w:t>
            </w:r>
          </w:p>
        </w:tc>
        <w:tc>
          <w:tcPr>
            <w:tcW w:type="dxa" w:w="4320"/>
          </w:tcPr>
          <w:p>
            <w:r>
              <w:t>Vraj Patel, Yogesh Bagotia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Supersedes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>
      <w:pPr>
        <w:pStyle w:val="Heading2"/>
      </w:pPr>
      <w:r>
        <w:t>Context</w:t>
      </w:r>
    </w:p>
    <w:p>
      <w:r>
        <w:t>Repeated exposure degrades a trap case's validity once answers circulate. A retirement policy would cap the useful life of expensive hand-authored content.</w:t>
      </w:r>
    </w:p>
    <w:p>
      <w:pPr>
        <w:pStyle w:val="Heading2"/>
      </w:pPr>
      <w:r>
        <w:t>Decision</w:t>
      </w:r>
    </w:p>
    <w:p>
      <w:r>
        <w:t>No automatic retirement. Instead: system-selected cases rather than user choice, a deep bank, generated case variants (same trap, different patient details and values), anomaly detection for suspiciously fast-and-perfect sessions, and per-case difficulty monitoring so a collapsing trap rate can be acted on individually.</w:t>
      </w:r>
    </w:p>
    <w:p>
      <w:pPr>
        <w:pStyle w:val="Heading2"/>
      </w:pPr>
      <w:r>
        <w:t>Alternatives considered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rejected</w:t>
            </w:r>
          </w:p>
        </w:tc>
      </w:tr>
      <w:tr>
        <w:tc>
          <w:tcPr>
            <w:tcW w:type="dxa" w:w="4320"/>
          </w:tcPr>
          <w:p>
            <w:r>
              <w:t>Retire after N uses</w:t>
            </w:r>
          </w:p>
        </w:tc>
        <w:tc>
          <w:tcPr>
            <w:tcW w:type="dxa" w:w="4320"/>
          </w:tcPr>
          <w:p>
            <w:r>
              <w:t>Discards expensive content on a schedule rather than on evidence.</w:t>
            </w:r>
          </w:p>
        </w:tc>
      </w:tr>
      <w:tr>
        <w:tc>
          <w:tcPr>
            <w:tcW w:type="dxa" w:w="4320"/>
          </w:tcPr>
          <w:p>
            <w:r>
              <w:t>Do nothing</w:t>
            </w:r>
          </w:p>
        </w:tc>
        <w:tc>
          <w:tcPr>
            <w:tcW w:type="dxa" w:w="4320"/>
          </w:tcPr>
          <w:p>
            <w:r>
              <w:t>Answer sharing would silently degrade the measurement.</w:t>
            </w:r>
          </w:p>
        </w:tc>
      </w:tr>
    </w:tbl>
    <w:p>
      <w:pPr>
        <w:pStyle w:val="Heading2"/>
      </w:pPr>
      <w:r>
        <w:t>Consequences</w:t>
      </w:r>
    </w:p>
    <w:p>
      <w:pPr>
        <w:pStyle w:val="ListBullet"/>
      </w:pPr>
      <w:r>
        <w:t>Authoring effort retains value indefinitely</w:t>
      </w:r>
    </w:p>
    <w:p>
      <w:pPr>
        <w:pStyle w:val="ListBullet"/>
      </w:pPr>
      <w:r>
        <w:t>Variants multiply the return on each authored case</w:t>
      </w:r>
    </w:p>
    <w:p>
      <w:pPr>
        <w:pStyle w:val="ListBullet"/>
      </w:pPr>
      <w:r>
        <w:t>Retirement remains available as a per-case judgement</w:t>
      </w:r>
    </w:p>
    <w:p>
      <w:r>
        <w:t>− Requires variant generation and anomaly detection to be built</w:t>
      </w:r>
    </w:p>
    <w:p/>
    <w:p>
      <w:pPr>
        <w:pStyle w:val="Heading1"/>
      </w:pPr>
      <w:r>
        <w:t>ADR-0015 · Direct-to-consumer, with the institutional path preserved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2026-08-22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Deciders</w:t>
            </w:r>
          </w:p>
        </w:tc>
        <w:tc>
          <w:tcPr>
            <w:tcW w:type="dxa" w:w="4320"/>
          </w:tcPr>
          <w:p>
            <w:r>
              <w:t>Vraj Patel, Yogesh Bagotia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Supersedes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>
      <w:pPr>
        <w:pStyle w:val="Heading2"/>
      </w:pPr>
      <w:r>
        <w:t>Context</w:t>
      </w:r>
    </w:p>
    <w:p>
      <w:r>
        <w:t>The original design assumed institutional B2B: institutions, cohorts, educators assigning cases. The product decision is to serve individual medical professionals directly.</w:t>
      </w:r>
    </w:p>
    <w:p>
      <w:pPr>
        <w:pStyle w:val="Heading2"/>
      </w:pPr>
      <w:r>
        <w:t>Decision</w:t>
      </w:r>
    </w:p>
    <w:p>
      <w:r>
        <w:t xml:space="preserve">Build for individual accounts with subscriptions. Retain a nullable </w:t>
      </w:r>
      <w:r>
        <w:rPr>
          <w:rFonts w:ascii="Consolas" w:hAnsi="Consolas"/>
          <w:sz w:val="19"/>
        </w:rPr>
        <w:t>institution_id</w:t>
      </w:r>
      <w:r>
        <w:t xml:space="preserve"> on </w:t>
      </w:r>
      <w:r>
        <w:rPr>
          <w:rFonts w:ascii="Consolas" w:hAnsi="Consolas"/>
          <w:sz w:val="19"/>
        </w:rPr>
        <w:t>profiles</w:t>
      </w:r>
      <w:r>
        <w:t xml:space="preserve"> so a cohort product remains possible without a migration.</w:t>
      </w:r>
    </w:p>
    <w:p>
      <w:pPr>
        <w:pStyle w:val="Heading2"/>
      </w:pPr>
      <w:r>
        <w:t>Alternatives considered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rejected</w:t>
            </w:r>
          </w:p>
        </w:tc>
      </w:tr>
      <w:tr>
        <w:tc>
          <w:tcPr>
            <w:tcW w:type="dxa" w:w="4320"/>
          </w:tcPr>
          <w:p>
            <w:r>
              <w:t>Institutional B2B first</w:t>
            </w:r>
          </w:p>
        </w:tc>
        <w:tc>
          <w:tcPr>
            <w:tcW w:type="dxa" w:w="4320"/>
          </w:tcPr>
          <w:p>
            <w:r>
              <w:t>Long sales cycles, procurement, and a product shaped by buyers who are not users.</w:t>
            </w:r>
          </w:p>
        </w:tc>
      </w:tr>
      <w:tr>
        <w:tc>
          <w:tcPr>
            <w:tcW w:type="dxa" w:w="4320"/>
          </w:tcPr>
          <w:p>
            <w:r>
              <w:t>Build both simultaneously</w:t>
            </w:r>
          </w:p>
        </w:tc>
        <w:tc>
          <w:tcPr>
            <w:tcW w:type="dxa" w:w="4320"/>
          </w:tcPr>
          <w:p>
            <w:r>
              <w:t>Doubles surface area before either is validated.</w:t>
            </w:r>
          </w:p>
        </w:tc>
      </w:tr>
      <w:tr>
        <w:tc>
          <w:tcPr>
            <w:tcW w:type="dxa" w:w="4320"/>
          </w:tcPr>
          <w:p>
            <w:r>
              <w:t>Drop institutional support entirely</w:t>
            </w:r>
          </w:p>
        </w:tc>
        <w:tc>
          <w:tcPr>
            <w:tcW w:type="dxa" w:w="4320"/>
          </w:tcPr>
          <w:p>
            <w:r>
              <w:t>A nullable column costs nothing now and saves weeks later.</w:t>
            </w:r>
          </w:p>
        </w:tc>
      </w:tr>
    </w:tbl>
    <w:p>
      <w:pPr>
        <w:pStyle w:val="Heading2"/>
      </w:pPr>
      <w:r>
        <w:t>Consequences</w:t>
      </w:r>
    </w:p>
    <w:p>
      <w:pPr>
        <w:pStyle w:val="ListBullet"/>
      </w:pPr>
      <w:r>
        <w:t>Faster path to real users and revenue</w:t>
      </w:r>
    </w:p>
    <w:p>
      <w:pPr>
        <w:pStyle w:val="ListBullet"/>
      </w:pPr>
      <w:r>
        <w:t>Self-serve growth rather than sales-led</w:t>
      </w:r>
    </w:p>
    <w:p>
      <w:pPr>
        <w:pStyle w:val="ListBullet"/>
      </w:pPr>
      <w:r>
        <w:t>B2B remains reachable without a schema rewrite</w:t>
      </w:r>
    </w:p>
    <w:p>
      <w:r>
        <w:t>− Educator features, cohort assignment and aggregate dashboards are out of scope for v1</w:t>
      </w:r>
    </w:p>
    <w:p>
      <w:r>
        <w:t>− Research studies become opt-in rather than cohort-wide (see TECH_SPEC §10)</w:t>
      </w:r>
    </w:p>
    <w:p/>
    <w:p>
      <w:pPr>
        <w:pStyle w:val="Heading1"/>
      </w:pPr>
      <w:r>
        <w:t>ADR-0016 · Tenant scoping by per-transaction role assumption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2026-09-12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Deciders</w:t>
            </w:r>
          </w:p>
        </w:tc>
        <w:tc>
          <w:tcPr>
            <w:tcW w:type="dxa" w:w="4320"/>
          </w:tcPr>
          <w:p>
            <w:r>
              <w:t>Vraj Patel, Yogesh Bagotia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Supersedes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>
      <w:pPr>
        <w:pStyle w:val="Heading2"/>
      </w:pPr>
      <w:r>
        <w:t>Context</w:t>
      </w:r>
    </w:p>
    <w:p>
      <w:r>
        <w:t xml:space="preserve">Migration 016 enabled Row-Level Security and wrote the policies </w:t>
      </w:r>
      <w:r>
        <w:rPr>
          <w:rFonts w:ascii="Consolas" w:hAnsi="Consolas"/>
          <w:sz w:val="19"/>
        </w:rPr>
        <w:t>DATA_MODEL</w:t>
      </w:r>
      <w:r>
        <w:t xml:space="preserve"> §10.1 specifies. T-010 proved they are correctly written, using a purpose-built non-superuser role.</w:t>
      </w:r>
    </w:p>
    <w:p>
      <w:r>
        <w:t xml:space="preserve">None of that constrains the application, because PostgreSQL exempts two kinds of caller from every policy: </w:t>
      </w:r>
      <w:r>
        <w:rPr>
          <w:b/>
        </w:rPr>
        <w:t>superusers and the table owner</w:t>
      </w:r>
      <w:r>
        <w:t xml:space="preserve">. An application connecting as either gets RLS silently disabled while </w:t>
      </w:r>
      <w:r>
        <w:rPr>
          <w:rFonts w:ascii="Consolas" w:hAnsi="Consolas"/>
          <w:sz w:val="19"/>
        </w:rPr>
        <w:t>pg_policies</w:t>
      </w:r>
      <w:r>
        <w:t xml:space="preserve"> still lists all six policies and every schema test still passes. This is not hypothetical: the direct connection string Supabase issues authenticates as </w:t>
      </w:r>
      <w:r>
        <w:rPr>
          <w:rFonts w:ascii="Consolas" w:hAnsi="Consolas"/>
          <w:sz w:val="19"/>
        </w:rPr>
        <w:t>postgres</w:t>
      </w:r>
      <w:r>
        <w:t xml:space="preserve">, a superuser, and is the obvious thing to paste into </w:t>
      </w:r>
      <w:r>
        <w:rPr>
          <w:rFonts w:ascii="Consolas" w:hAnsi="Consolas"/>
          <w:sz w:val="19"/>
        </w:rPr>
        <w:t>DATABASE_URL</w:t>
      </w:r>
      <w:r>
        <w:t>.</w:t>
      </w:r>
    </w:p>
    <w:p>
      <w:r>
        <w:t xml:space="preserve">So the application needs a role that is neither, and the anonymous-trial path needs the opposite — </w:t>
      </w:r>
      <w:r>
        <w:rPr>
          <w:rFonts w:ascii="Consolas" w:hAnsi="Consolas"/>
          <w:sz w:val="19"/>
        </w:rPr>
        <w:t>DATA_MODEL</w:t>
      </w:r>
      <w:r>
        <w:t xml:space="preserve"> §10.1 accepts that a trial visitor has no </w:t>
      </w:r>
      <w:r>
        <w:rPr>
          <w:rFonts w:ascii="Consolas" w:hAnsi="Consolas"/>
          <w:sz w:val="19"/>
        </w:rPr>
        <w:t>auth.uid()</w:t>
      </w:r>
      <w:r>
        <w:t xml:space="preserve"> and must be served through a connection that bypasses RLS with an explicit </w:t>
      </w:r>
      <w:r>
        <w:rPr>
          <w:rFonts w:ascii="Consolas" w:hAnsi="Consolas"/>
          <w:sz w:val="19"/>
        </w:rPr>
        <w:t>anonymous_id</w:t>
      </w:r>
      <w:r>
        <w:t xml:space="preserve"> filter instead.</w:t>
      </w:r>
    </w:p>
    <w:p>
      <w:pPr>
        <w:pStyle w:val="Heading2"/>
      </w:pPr>
      <w:r>
        <w:t>Decision</w:t>
      </w:r>
    </w:p>
    <w:p>
      <w:r>
        <w:rPr>
          <w:b/>
        </w:rPr>
        <w:t>Two `NOLOGIN` roles created by migration 020, assumed per transaction rather than per connection.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RLS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Assumed for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nidan_app</w:t>
            </w:r>
          </w:p>
        </w:tc>
        <w:tc>
          <w:tcPr>
            <w:tcW w:type="dxa" w:w="2880"/>
          </w:tcPr>
          <w:p>
            <w:r>
              <w:t>applies</w:t>
            </w:r>
          </w:p>
        </w:tc>
        <w:tc>
          <w:tcPr>
            <w:tcW w:type="dxa" w:w="2880"/>
          </w:tcPr>
          <w:p>
            <w:r>
              <w:t>every authenticated request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nidan_service</w:t>
            </w:r>
          </w:p>
        </w:tc>
        <w:tc>
          <w:tcPr>
            <w:tcW w:type="dxa" w:w="2880"/>
          </w:tcPr>
          <w:p>
            <w:r>
              <w:t>bypassed</w:t>
            </w:r>
          </w:p>
        </w:tc>
        <w:tc>
          <w:tcPr>
            <w:tcW w:type="dxa" w:w="2880"/>
          </w:tcPr>
          <w:p>
            <w:r>
              <w:t>the anonymous-trial path, jobs, the case editor</w:t>
            </w:r>
          </w:p>
        </w:tc>
      </w:tr>
    </w:tbl>
    <w:p>
      <w:r>
        <w:t xml:space="preserve">Every transaction opens with two statements, in </w:t>
      </w:r>
      <w:r>
        <w:rPr>
          <w:rFonts w:ascii="Consolas" w:hAnsi="Consolas"/>
          <w:sz w:val="19"/>
        </w:rPr>
        <w:t>infra/db/repositories/base.py</w:t>
      </w:r>
      <w:r>
        <w:t>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SET LOCAL ROLE nidan_app;</w:t>
        <w:br/>
        <w:t>SELECT set_config('request.jwt.claim.sub', :user_id, true);</w:t>
      </w:r>
    </w:p>
    <w:p>
      <w:r>
        <w:t xml:space="preserve">Both are transaction-scoped. The </w:t>
      </w:r>
      <w:r>
        <w:rPr>
          <w:rFonts w:ascii="Consolas" w:hAnsi="Consolas"/>
          <w:sz w:val="19"/>
        </w:rPr>
        <w:t>LOCAL</w:t>
      </w:r>
      <w:r>
        <w:t xml:space="preserve"> forms are not a stylistic preference: plain </w:t>
      </w:r>
      <w:r>
        <w:rPr>
          <w:rFonts w:ascii="Consolas" w:hAnsi="Consolas"/>
          <w:sz w:val="19"/>
        </w:rPr>
        <w:t>SET</w:t>
      </w:r>
      <w:r>
        <w:t xml:space="preserve"> persists for the life of the </w:t>
      </w:r>
      <w:r>
        <w:rPr>
          <w:i/>
        </w:rPr>
        <w:t>connection</w:t>
      </w:r>
      <w:r>
        <w:t>, and a pooled connection is handed to whichever request asks next.</w:t>
      </w:r>
    </w:p>
    <w:p>
      <w:r>
        <w:t xml:space="preserve">The role is chosen by an </w:t>
      </w:r>
      <w:r>
        <w:rPr>
          <w:rFonts w:ascii="Consolas" w:hAnsi="Consolas"/>
          <w:sz w:val="19"/>
        </w:rPr>
        <w:t>Actor</w:t>
      </w:r>
      <w:r>
        <w:t xml:space="preserve"> — three distinct types, never one type with an optional </w:t>
      </w:r>
      <w:r>
        <w:rPr>
          <w:rFonts w:ascii="Consolas" w:hAnsi="Consolas"/>
          <w:sz w:val="19"/>
        </w:rPr>
        <w:t>user_id</w:t>
      </w:r>
      <w:r>
        <w:t xml:space="preserve"> — and no connection can be obtained without one.</w:t>
      </w:r>
    </w:p>
    <w:p>
      <w:pPr>
        <w:pStyle w:val="Heading2"/>
      </w:pPr>
      <w:r>
        <w:t>Alternatives considered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rejected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 dedicated login user per role</w:t>
            </w:r>
          </w:p>
        </w:tc>
        <w:tc>
          <w:tcPr>
            <w:tcW w:type="dxa" w:w="4320"/>
          </w:tcPr>
          <w:p>
            <w:r>
              <w:t xml:space="preserve">Two pools, two secrets to rotate, and no protection at all when </w:t>
            </w:r>
            <w:r>
              <w:rPr>
                <w:rFonts w:ascii="Consolas" w:hAnsi="Consolas"/>
                <w:sz w:val="19"/>
              </w:rPr>
              <w:t>DATABASE_URL</w:t>
            </w:r>
            <w:r>
              <w:t xml:space="preserve"> names a superuser — which on Supabase is the default. Assuming a role demotes even a superuser connection for the duration of the statement.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Reuse Supabase's `authenticated` / `service_role`</w:t>
            </w:r>
          </w:p>
        </w:tc>
        <w:tc>
          <w:tcPr>
            <w:tcW w:type="dxa" w:w="4320"/>
          </w:tcPr>
          <w:p>
            <w:r>
              <w:t>Managed by GoTrue and PostgREST, carrying grants we do not control, and absent from a plain PostgreSQL. Owning the definition is what makes local and production the same thing.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Application-level scoping only (`WHERE user_id = ?` everywhere)</w:t>
            </w:r>
          </w:p>
        </w:tc>
        <w:tc>
          <w:tcPr>
            <w:tcW w:type="dxa" w:w="4320"/>
          </w:tcPr>
          <w:p>
            <w:r>
              <w:t>One forgotten clause is a breach. It is also untestable as a property: you can only check the queries someone remembered to write.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RLS only, with the app as owner</w:t>
            </w:r>
          </w:p>
        </w:tc>
        <w:tc>
          <w:tcPr>
            <w:tcW w:type="dxa" w:w="4320"/>
          </w:tcPr>
          <w:p>
            <w:r>
              <w:t>The policies never fire. The failure mode is invisible and green.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Extend RLS to cover anonymous sessions via a second session variable</w:t>
            </w:r>
          </w:p>
        </w:tc>
        <w:tc>
          <w:tcPr>
            <w:tcW w:type="dxa" w:w="4320"/>
          </w:tcPr>
          <w:p>
            <w:r>
              <w:t xml:space="preserve">Genuinely attractive — the safety net would stay on everywhere. Rejected for now because it diverges from </w:t>
            </w:r>
            <w:r>
              <w:rPr>
                <w:rFonts w:ascii="Consolas" w:hAnsi="Consolas"/>
                <w:sz w:val="19"/>
              </w:rPr>
              <w:t>DATA_MODEL</w:t>
            </w:r>
            <w:r>
              <w:t xml:space="preserve"> §10.1 and adds a policy whose correctness is load-bearing before T-015 has defined what a trial actually is. Revisit at T-015.</w:t>
            </w:r>
          </w:p>
        </w:tc>
      </w:tr>
    </w:tbl>
    <w:p>
      <w:pPr>
        <w:pStyle w:val="Heading2"/>
      </w:pPr>
      <w:r>
        <w:t>Consequences</w:t>
      </w:r>
    </w:p>
    <w:p>
      <w:pPr>
        <w:pStyle w:val="ListBullet"/>
      </w:pPr>
      <w:r>
        <w:t xml:space="preserve">A forgotten </w:t>
      </w:r>
      <w:r>
        <w:rPr>
          <w:rFonts w:ascii="Consolas" w:hAnsi="Consolas"/>
          <w:sz w:val="19"/>
        </w:rPr>
        <w:t>WHERE user_id = ...</w:t>
      </w:r>
      <w:r>
        <w:t xml:space="preserve"> returns nothing rather than another learner's consultation</w:t>
      </w:r>
    </w:p>
    <w:p>
      <w:pPr>
        <w:pStyle w:val="ListBullet"/>
      </w:pPr>
      <w:r>
        <w:t>Correct even when the connection's credentials are a superuser's</w:t>
      </w:r>
    </w:p>
    <w:p>
      <w:pPr>
        <w:pStyle w:val="ListBullet"/>
      </w:pPr>
      <w:r>
        <w:t>One connection pool serves both roles</w:t>
      </w:r>
    </w:p>
    <w:p>
      <w:pPr>
        <w:pStyle w:val="ListBullet"/>
      </w:pPr>
      <w:r>
        <w:t xml:space="preserve">The bypass is confined to one 100-line module, and </w:t>
      </w:r>
      <w:r>
        <w:rPr>
          <w:rFonts w:ascii="Consolas" w:hAnsi="Consolas"/>
          <w:sz w:val="19"/>
        </w:rPr>
        <w:t>ServiceActor</w:t>
      </w:r>
      <w:r>
        <w:t xml:space="preserve"> requires a written reason, so every use of it is greppable and self-explaining</w:t>
      </w:r>
    </w:p>
    <w:p>
      <w:r>
        <w:t xml:space="preserve">− </w:t>
      </w:r>
      <w:r>
        <w:rPr>
          <w:rFonts w:ascii="Consolas" w:hAnsi="Consolas"/>
          <w:sz w:val="19"/>
        </w:rPr>
        <w:t>SET LOCAL ROLE</w:t>
      </w:r>
      <w:r>
        <w:t xml:space="preserve"> costs a round trip per transaction (negligible beside the statements that follow)</w:t>
      </w:r>
    </w:p>
    <w:p>
      <w:r>
        <w:t>− The anonymous path is protected by an application filter alone; its four methods and its separate test file are the compensating controls</w:t>
      </w:r>
    </w:p>
    <w:p>
      <w:r>
        <w:t xml:space="preserve">− Migration 020 grants role membership to </w:t>
      </w:r>
      <w:r>
        <w:rPr>
          <w:rFonts w:ascii="Consolas" w:hAnsi="Consolas"/>
          <w:sz w:val="19"/>
        </w:rPr>
        <w:t>CURRENT_USER</w:t>
      </w:r>
      <w:r>
        <w:t xml:space="preserve"> so a local stack works unconfigured; a production deployment should grant it to the application's own login user instead</w:t>
      </w:r>
    </w:p>
    <w:p/>
    <w:p>
      <w:pPr>
        <w:pStyle w:val="Heading1"/>
      </w:pPr>
      <w:r>
        <w:t>ADR-0017 · Data residency in the EU (Frankfurt)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2026-10-28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Deciders</w:t>
            </w:r>
          </w:p>
        </w:tc>
        <w:tc>
          <w:tcPr>
            <w:tcW w:type="dxa" w:w="4320"/>
          </w:tcPr>
          <w:p>
            <w:r>
              <w:t>Vraj Patel, Yogesh Bagotia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Supersedes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>
      <w:pPr>
        <w:pStyle w:val="Heading2"/>
      </w:pPr>
      <w:r>
        <w:t>Context</w:t>
      </w:r>
    </w:p>
    <w:p>
      <w:r>
        <w:rPr>
          <w:rFonts w:ascii="Consolas" w:hAnsi="Consolas"/>
          <w:sz w:val="19"/>
        </w:rPr>
        <w:t>SECURITY_SPEC</w:t>
      </w:r>
      <w:r>
        <w:t xml:space="preserve"> S-4 has carried a ⟨DECIDE⟩ marker since 5 September 2026, and D-7 made it harder rather than easier: a </w:t>
      </w:r>
      <w:r>
        <w:rPr>
          <w:b/>
        </w:rPr>
        <w:t>global English-speaking launch</w:t>
      </w:r>
      <w:r>
        <w:t xml:space="preserve"> means UK and EU users from day one.</w:t>
      </w:r>
    </w:p>
    <w:p>
      <w:r>
        <w:t>Three facts constrain the choice.</w:t>
      </w:r>
    </w:p>
    <w:p>
      <w:r>
        <w:rPr>
          <w:b/>
        </w:rPr>
        <w:t>GDPR applies because of who the users are, not where the database is.</w:t>
      </w:r>
      <w:r>
        <w:t xml:space="preserve"> Article 3(2) binds any controller offering services to people in the Union, wherever the controller or its infrastructure sits. So no region avoids GDPR. The region decides something narrower.</w:t>
      </w:r>
    </w:p>
    <w:p>
      <w:r>
        <w:rPr>
          <w:b/>
        </w:rPr>
        <w:t>What the region decides is Chapter V.</w:t>
      </w:r>
      <w:r>
        <w:t xml:space="preserve"> Personal data leaving the EEA is a restricted transfer, and lawful only under a transfer mechanism — an adequacy decision, or standard contractual clauses backed by a transfer impact assessment. That is paperwork, periodic review, and a dependency on the destination country's surveillance law. Keeping the data in the EEA removes the obligation rather than satisfying it.</w:t>
      </w:r>
    </w:p>
    <w:p>
      <w:r>
        <w:rPr>
          <w:b/>
        </w:rPr>
        <w:t>The obligation is one-directional.</w:t>
      </w:r>
      <w:r>
        <w:t xml:space="preserve"> No comparable restriction stops an Indian, Australian or US user's data from sitting in Frankfurt. The asymmetry is the whole decision: one region creates legal work, the other does not, and it is the same database either way.</w:t>
      </w:r>
    </w:p>
    <w:p>
      <w:r>
        <w:t>Against that, latency. One database, one region, and a user base spread across at least three continents — someone is always far away.</w:t>
      </w:r>
    </w:p>
    <w:p>
      <w:r>
        <w:rPr>
          <w:rFonts w:ascii="Consolas" w:hAnsi="Consolas"/>
          <w:sz w:val="19"/>
        </w:rPr>
        <w:t>ADR-0001</w:t>
      </w:r>
      <w:r>
        <w:t xml:space="preserve"> already placed PostgreSQL on Supabase, and </w:t>
      </w:r>
      <w:r>
        <w:rPr>
          <w:rFonts w:ascii="Consolas" w:hAnsi="Consolas"/>
          <w:sz w:val="19"/>
        </w:rPr>
        <w:t>ADR-0002</w:t>
      </w:r>
      <w:r>
        <w:t xml:space="preserve"> placed authentication there too, so this is one project and one jurisdiction for both. A Supabase project cannot be moved between regions; changing this means creating a new project and migrating.</w:t>
      </w:r>
    </w:p>
    <w:p>
      <w:pPr>
        <w:pStyle w:val="Heading2"/>
      </w:pPr>
      <w:r>
        <w:t>Decision</w:t>
      </w:r>
    </w:p>
    <w:p>
      <w:r>
        <w:rPr>
          <w:b/>
        </w:rPr>
        <w:t>Central EU (Frankfurt), `eu-central-1`.</w:t>
      </w:r>
    </w:p>
    <w:p>
      <w:r>
        <w:t>One Supabase project holds both the database and GoTrue, created 28 October 2026.</w:t>
      </w:r>
    </w:p>
    <w:p>
      <w:r>
        <w:t>EU users are served from inside the EEA, so Chapter V does not engage for them. UK users rely on the UK's own finding that the EEA offers adequate protection — a transfer in that direction, from a UK data subject to an EU processor, is the well-supported one. Users outside Europe bring no residency constraint of their own.</w:t>
      </w:r>
    </w:p>
    <w:p>
      <w:r>
        <w:t>Latency is accepted as the cost: roughly 120–150 ms from India and 80–100 ms from the US east coast. A consultation is turn-based text, and the LLM call already dominates every response by an order of magnitude, so the round trip is not perceptible where it lands.</w:t>
      </w:r>
    </w:p>
    <w:p>
      <w:pPr>
        <w:pStyle w:val="Heading2"/>
      </w:pPr>
      <w:r>
        <w:t>Alternatives considered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rejected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London, `eu-west-2`</w:t>
            </w:r>
          </w:p>
        </w:tc>
        <w:tc>
          <w:tcPr>
            <w:tcW w:type="dxa" w:w="4320"/>
          </w:tcPr>
          <w:p>
            <w:r>
              <w:t xml:space="preserve">Equivalent for UK users and marginally closer to India. Rejected because it inverts the dependency: EU users' data in the UK relies on the EU's adequacy decision </w:t>
            </w:r>
            <w:r>
              <w:rPr>
                <w:i/>
              </w:rPr>
              <w:t>for</w:t>
            </w:r>
            <w:r>
              <w:t xml:space="preserve"> the UK, which is renewable and has been subject to periodic review, whereas the UK's recognition of the EEA is the stabler direction. Choosing the renewable side of a reciprocal pair, for a project that cannot change region later, is the worse of two similar options.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Mumbai, `ap-south-1`</w:t>
            </w:r>
          </w:p>
        </w:tc>
        <w:tc>
          <w:tcPr>
            <w:tcW w:type="dxa" w:w="4320"/>
          </w:tcPr>
          <w:p>
            <w:r>
              <w:t>Best latency for the team and for any India-based pilot cohort, and genuinely tempting while the only users are local. Rejected because it takes on SCCs and a transfer impact assessment as a precondition of the launch D-7 already committed to — legal work that scales with the thing we most want to do.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 East, `us-east-1`</w:t>
            </w:r>
          </w:p>
        </w:tc>
        <w:tc>
          <w:tcPr>
            <w:tcW w:type="dxa" w:w="4320"/>
          </w:tcPr>
          <w:p>
            <w:r>
              <w:t>Supabase's default and its best-tested region. Rejected for the same Chapter V exposure as Mumbai, with none of its latency benefit for us, and with a destination whose surveillance law is the subject of the case history that invalidated two previous adequacy frameworks.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Two regions, routed by user</w:t>
            </w:r>
          </w:p>
        </w:tc>
        <w:tc>
          <w:tcPr>
            <w:tcW w:type="dxa" w:w="4320"/>
          </w:tcPr>
          <w:p>
            <w:r>
              <w:t xml:space="preserve">Removes the trade-off and introduces a far worse one. Two databases means the assessment engine's </w:t>
            </w:r>
            <w:r>
              <w:rPr>
                <w:rFonts w:ascii="Consolas" w:hAnsi="Consolas"/>
                <w:sz w:val="19"/>
              </w:rPr>
              <w:t>engine_versions</w:t>
            </w:r>
            <w:r>
              <w:t xml:space="preserve"> pinning, the golden record and the 16 backfilled pilot sessions all fork, and </w:t>
            </w:r>
            <w:r>
              <w:rPr>
                <w:rFonts w:ascii="Consolas" w:hAnsi="Consolas"/>
                <w:sz w:val="19"/>
              </w:rPr>
              <w:t>ADR-0003</w:t>
            </w:r>
            <w:r>
              <w:t>'s single event log stops being single. Not worth it at any plausible scale for this product.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Defer until launch</w:t>
            </w:r>
          </w:p>
        </w:tc>
        <w:tc>
          <w:tcPr>
            <w:tcW w:type="dxa" w:w="4320"/>
          </w:tcPr>
          <w:p>
            <w:r>
              <w:t>The status quo, and the reason this sat open for seven weeks. Rejected because the project had to be created to unblock T-023 regardless, and a region chosen incidentally to unblock a local sign-in is a jurisdiction chosen by accident.</w:t>
            </w:r>
          </w:p>
        </w:tc>
      </w:tr>
    </w:tbl>
    <w:p>
      <w:pPr>
        <w:pStyle w:val="Heading2"/>
      </w:pPr>
      <w:r>
        <w:t>Consequences</w:t>
      </w:r>
    </w:p>
    <w:p>
      <w:pPr>
        <w:pStyle w:val="ListBullet"/>
      </w:pPr>
      <w:r>
        <w:rPr>
          <w:rFonts w:ascii="Consolas" w:hAnsi="Consolas"/>
          <w:sz w:val="19"/>
        </w:rPr>
        <w:t>SECURITY_SPEC</w:t>
      </w:r>
      <w:r>
        <w:t xml:space="preserve"> S-4 is closed; the last open ⟨DECIDE⟩ item is settled</w:t>
      </w:r>
    </w:p>
    <w:p>
      <w:pPr>
        <w:pStyle w:val="ListBullet"/>
      </w:pPr>
      <w:r>
        <w:t>No Chapter V transfer mechanism, transfer impact assessment or SCC review is needed for EU users</w:t>
      </w:r>
    </w:p>
    <w:p>
      <w:pPr>
        <w:pStyle w:val="ListBullet"/>
      </w:pPr>
      <w:r>
        <w:t>The privacy policy (S-7) can state a single, stable processing location</w:t>
      </w:r>
    </w:p>
    <w:p>
      <w:pPr>
        <w:pStyle w:val="ListBullet"/>
      </w:pPr>
      <w:r>
        <w:t>Auth and data share one jurisdiction, so there is no second residency question for GoTrue</w:t>
      </w:r>
    </w:p>
    <w:p>
      <w:r>
        <w:t>− Latency of roughly 120–150 ms for users in India, including the team during development</w:t>
      </w:r>
    </w:p>
    <w:p>
      <w:r>
        <w:t>− A later decision to move is a new project and a data migration, not a setting</w:t>
      </w:r>
    </w:p>
    <w:p>
      <w:r>
        <w:t>− UK coverage depends on the UK's recognition of the EEA; if that position ever changed, UK users would need their own mechanism. Worth re-reading at S-7 when the privacy policy is written</w:t>
      </w:r>
    </w:p>
    <w:p>
      <w:r>
        <w:t xml:space="preserve">− Nothing here addresses </w:t>
      </w:r>
      <w:r>
        <w:rPr>
          <w:i/>
        </w:rPr>
        <w:t>what</w:t>
      </w:r>
      <w:r>
        <w:t xml:space="preserve"> is stored, only where. The group-size floor in S-1 and the aggregate-only institutional view remain the decisions that matter more for trust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